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2516" w14:textId="77777777" w:rsidR="00656788" w:rsidRDefault="00000000">
      <w:pPr>
        <w:spacing w:beforeLines="50" w:before="156" w:afterLines="50" w:after="156" w:line="400" w:lineRule="exact"/>
        <w:ind w:rightChars="-338" w:right="-710"/>
        <w:jc w:val="center"/>
        <w:rPr>
          <w:rFonts w:ascii="方正小标宋简体" w:eastAsia="方正小标宋简体" w:hAnsi="微软雅黑" w:hint="eastAsia"/>
          <w:color w:val="000000" w:themeColor="text1"/>
          <w:sz w:val="44"/>
          <w:szCs w:val="44"/>
        </w:rPr>
      </w:pPr>
      <w:bookmarkStart w:id="0" w:name="OLE_LINK10"/>
      <w:r>
        <w:rPr>
          <w:rFonts w:ascii="方正小标宋简体" w:eastAsia="方正小标宋简体" w:hAnsi="微软雅黑" w:hint="eastAsia"/>
          <w:color w:val="000000" w:themeColor="text1"/>
          <w:sz w:val="44"/>
          <w:szCs w:val="44"/>
        </w:rPr>
        <w:t>钱江水利开发股份有限公司采购实施方案</w:t>
      </w:r>
    </w:p>
    <w:bookmarkEnd w:id="0"/>
    <w:p w14:paraId="0BFB616A" w14:textId="77777777" w:rsidR="00656788" w:rsidRDefault="00656788">
      <w:pPr>
        <w:spacing w:beforeLines="50" w:before="156" w:afterLines="50" w:after="156" w:line="400" w:lineRule="exact"/>
        <w:ind w:rightChars="-338" w:right="-710"/>
        <w:jc w:val="left"/>
        <w:rPr>
          <w:rFonts w:ascii="仿宋_GB2312" w:eastAsia="仿宋_GB2312"/>
          <w:color w:val="000000" w:themeColor="text1"/>
          <w:sz w:val="28"/>
          <w:szCs w:val="28"/>
        </w:rPr>
      </w:pPr>
    </w:p>
    <w:p w14:paraId="70A7E27E" w14:textId="77777777" w:rsidR="00656788" w:rsidRDefault="00000000">
      <w:pPr>
        <w:spacing w:beforeLines="50" w:before="156" w:afterLines="50" w:after="156" w:line="400" w:lineRule="exact"/>
        <w:ind w:rightChars="-338" w:right="-710"/>
        <w:jc w:val="left"/>
        <w:rPr>
          <w:rFonts w:ascii="仿宋_GB2312" w:eastAsia="仿宋_GB2312"/>
          <w:color w:val="000000" w:themeColor="text1"/>
          <w:sz w:val="28"/>
          <w:szCs w:val="28"/>
        </w:rPr>
      </w:pPr>
      <w:r>
        <w:rPr>
          <w:rFonts w:ascii="仿宋_GB2312" w:eastAsia="仿宋_GB2312" w:hint="eastAsia"/>
          <w:color w:val="000000" w:themeColor="text1"/>
          <w:sz w:val="28"/>
          <w:szCs w:val="28"/>
        </w:rPr>
        <w:t>需求部门：党委组织部/人力资源部</w:t>
      </w:r>
    </w:p>
    <w:p w14:paraId="51A89867" w14:textId="77777777" w:rsidR="00656788" w:rsidRDefault="00000000">
      <w:pPr>
        <w:spacing w:beforeLines="50" w:before="156" w:afterLines="50" w:after="156" w:line="400" w:lineRule="exact"/>
        <w:ind w:rightChars="-338" w:right="-710"/>
        <w:jc w:val="left"/>
        <w:rPr>
          <w:rFonts w:ascii="仿宋_GB2312" w:eastAsia="仿宋_GB2312"/>
          <w:color w:val="000000" w:themeColor="text1"/>
          <w:sz w:val="28"/>
          <w:szCs w:val="28"/>
        </w:rPr>
      </w:pPr>
      <w:r>
        <w:rPr>
          <w:rFonts w:ascii="仿宋_GB2312" w:eastAsia="仿宋_GB2312" w:hint="eastAsia"/>
          <w:color w:val="000000" w:themeColor="text1"/>
          <w:sz w:val="28"/>
          <w:szCs w:val="28"/>
        </w:rPr>
        <w:t>经办人：</w:t>
      </w:r>
      <w:proofErr w:type="gramStart"/>
      <w:r>
        <w:rPr>
          <w:rFonts w:ascii="仿宋_GB2312" w:eastAsia="仿宋_GB2312" w:hint="eastAsia"/>
          <w:color w:val="000000" w:themeColor="text1"/>
          <w:sz w:val="28"/>
          <w:szCs w:val="28"/>
        </w:rPr>
        <w:t>应沐阳</w:t>
      </w:r>
      <w:proofErr w:type="gramEnd"/>
      <w:r>
        <w:rPr>
          <w:rFonts w:ascii="仿宋_GB2312" w:eastAsia="仿宋_GB2312" w:hint="eastAsia"/>
          <w:color w:val="000000" w:themeColor="text1"/>
          <w:sz w:val="28"/>
          <w:szCs w:val="28"/>
        </w:rPr>
        <w:t xml:space="preserve">                   填写日期：2025年10月30日</w:t>
      </w:r>
    </w:p>
    <w:tbl>
      <w:tblPr>
        <w:tblW w:w="10016" w:type="dxa"/>
        <w:jc w:val="center"/>
        <w:tblLook w:val="04A0" w:firstRow="1" w:lastRow="0" w:firstColumn="1" w:lastColumn="0" w:noHBand="0" w:noVBand="1"/>
      </w:tblPr>
      <w:tblGrid>
        <w:gridCol w:w="1112"/>
        <w:gridCol w:w="1960"/>
        <w:gridCol w:w="6944"/>
      </w:tblGrid>
      <w:tr w:rsidR="00656788" w14:paraId="37202A05" w14:textId="77777777">
        <w:trPr>
          <w:trHeight w:val="96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EB9856"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采购项目名称</w:t>
            </w:r>
          </w:p>
        </w:tc>
        <w:tc>
          <w:tcPr>
            <w:tcW w:w="8036" w:type="dxa"/>
            <w:gridSpan w:val="2"/>
            <w:tcBorders>
              <w:top w:val="single" w:sz="4" w:space="0" w:color="auto"/>
              <w:left w:val="nil"/>
              <w:bottom w:val="single" w:sz="4" w:space="0" w:color="auto"/>
              <w:right w:val="single" w:sz="4" w:space="0" w:color="auto"/>
            </w:tcBorders>
            <w:vAlign w:val="center"/>
          </w:tcPr>
          <w:p w14:paraId="283FEAD1"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t>钱江水利全级次人才盘点项目</w:t>
            </w:r>
          </w:p>
        </w:tc>
      </w:tr>
      <w:tr w:rsidR="00656788" w14:paraId="5133964A" w14:textId="77777777">
        <w:trPr>
          <w:trHeight w:val="960"/>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F8D057"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采购原因</w:t>
            </w:r>
          </w:p>
        </w:tc>
        <w:tc>
          <w:tcPr>
            <w:tcW w:w="8036" w:type="dxa"/>
            <w:gridSpan w:val="2"/>
            <w:tcBorders>
              <w:top w:val="single" w:sz="4" w:space="0" w:color="auto"/>
              <w:left w:val="nil"/>
              <w:bottom w:val="single" w:sz="4" w:space="0" w:color="auto"/>
              <w:right w:val="single" w:sz="4" w:space="0" w:color="auto"/>
            </w:tcBorders>
            <w:vAlign w:val="center"/>
          </w:tcPr>
          <w:p w14:paraId="4F5D813B" w14:textId="77777777" w:rsidR="00656788" w:rsidRDefault="00000000">
            <w:pPr>
              <w:shd w:val="clear" w:color="auto" w:fill="FFFFFF"/>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为深入贯彻钱江水利“十四五”战略规划，系统谋划公司“十五五”人力资源发展布局，构建与公司发展战略高度契合的人才发展体系，拟开展全级次人才盘点工作，组建打造“百人战略型核心人才池”，扩大核心人才储备规模，优化人才结构布局，提升人才使用效能，打造规模适中、素质优良、结构合理、作用突出的人才队伍，为公司高质量人才发展奠定基础并提供坚实人才支撑。</w:t>
            </w:r>
          </w:p>
        </w:tc>
      </w:tr>
      <w:tr w:rsidR="00656788" w14:paraId="249FB9EC" w14:textId="77777777">
        <w:trPr>
          <w:trHeight w:val="11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3197744"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采购事项</w:t>
            </w:r>
          </w:p>
          <w:p w14:paraId="43013223"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概述</w:t>
            </w:r>
          </w:p>
        </w:tc>
        <w:tc>
          <w:tcPr>
            <w:tcW w:w="8036" w:type="dxa"/>
            <w:gridSpan w:val="2"/>
            <w:tcBorders>
              <w:top w:val="single" w:sz="4" w:space="0" w:color="auto"/>
              <w:left w:val="nil"/>
              <w:bottom w:val="single" w:sz="4" w:space="0" w:color="auto"/>
              <w:right w:val="single" w:sz="4" w:space="0" w:color="auto"/>
            </w:tcBorders>
            <w:vAlign w:val="center"/>
          </w:tcPr>
          <w:p w14:paraId="7CE5E162" w14:textId="77777777" w:rsidR="00656788" w:rsidRDefault="00000000">
            <w:pPr>
              <w:pStyle w:val="a5"/>
              <w:spacing w:line="560" w:lineRule="exact"/>
              <w:ind w:leftChars="0" w:left="0"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本项目为公司全级次人才建模盘点项目，采购人力咨询供应商，为公司提供人力咨询服务，</w:t>
            </w:r>
            <w:bookmarkStart w:id="1" w:name="OLE_LINK3"/>
            <w:r>
              <w:rPr>
                <w:rFonts w:ascii="仿宋_GB2312" w:eastAsia="仿宋_GB2312" w:hint="eastAsia"/>
                <w:color w:val="000000" w:themeColor="text1"/>
                <w:sz w:val="28"/>
                <w:szCs w:val="28"/>
              </w:rPr>
              <w:t>项目内容包括但不仅限于战略性人才范围确定、全级次人才建模、人才盘点与数据分析、人才池构建等内容。</w:t>
            </w:r>
            <w:bookmarkEnd w:id="1"/>
            <w:r>
              <w:rPr>
                <w:rFonts w:ascii="仿宋_GB2312" w:eastAsia="仿宋_GB2312" w:hint="eastAsia"/>
                <w:color w:val="000000" w:themeColor="text1"/>
                <w:sz w:val="28"/>
                <w:szCs w:val="28"/>
              </w:rPr>
              <w:t>本项目由公司统一采购，根据服务内容与各分（子）公司签署相关合同，具体金额分摊方式如下：</w:t>
            </w:r>
          </w:p>
          <w:tbl>
            <w:tblPr>
              <w:tblStyle w:val="aa"/>
              <w:tblW w:w="8633" w:type="dxa"/>
              <w:tblLook w:val="04A0" w:firstRow="1" w:lastRow="0" w:firstColumn="1" w:lastColumn="0" w:noHBand="0" w:noVBand="1"/>
            </w:tblPr>
            <w:tblGrid>
              <w:gridCol w:w="3297"/>
              <w:gridCol w:w="1967"/>
              <w:gridCol w:w="3369"/>
            </w:tblGrid>
            <w:tr w:rsidR="00656788" w14:paraId="2330EE92" w14:textId="77777777">
              <w:tc>
                <w:tcPr>
                  <w:tcW w:w="3297" w:type="dxa"/>
                </w:tcPr>
                <w:p w14:paraId="261D80FC" w14:textId="77777777" w:rsidR="00656788" w:rsidRDefault="00000000">
                  <w:pPr>
                    <w:spacing w:line="600" w:lineRule="exact"/>
                    <w:jc w:val="center"/>
                    <w:rPr>
                      <w:rFonts w:ascii="黑体" w:eastAsia="黑体" w:hAnsi="黑体" w:cs="黑体" w:hint="eastAsia"/>
                      <w:b/>
                      <w:bCs/>
                      <w:sz w:val="28"/>
                      <w:szCs w:val="28"/>
                    </w:rPr>
                  </w:pPr>
                  <w:r>
                    <w:rPr>
                      <w:rFonts w:ascii="黑体" w:eastAsia="黑体" w:hAnsi="黑体" w:cs="黑体" w:hint="eastAsia"/>
                      <w:b/>
                      <w:bCs/>
                      <w:sz w:val="28"/>
                      <w:szCs w:val="28"/>
                    </w:rPr>
                    <w:t>服务内容</w:t>
                  </w:r>
                </w:p>
              </w:tc>
              <w:tc>
                <w:tcPr>
                  <w:tcW w:w="1967" w:type="dxa"/>
                </w:tcPr>
                <w:p w14:paraId="04038396" w14:textId="77777777" w:rsidR="00656788" w:rsidRDefault="00000000">
                  <w:pPr>
                    <w:spacing w:line="600" w:lineRule="exact"/>
                    <w:jc w:val="center"/>
                    <w:rPr>
                      <w:rFonts w:ascii="黑体" w:eastAsia="黑体" w:hAnsi="黑体" w:cs="黑体" w:hint="eastAsia"/>
                      <w:b/>
                      <w:bCs/>
                      <w:sz w:val="28"/>
                      <w:szCs w:val="28"/>
                    </w:rPr>
                  </w:pPr>
                  <w:r>
                    <w:rPr>
                      <w:rFonts w:ascii="黑体" w:eastAsia="黑体" w:hAnsi="黑体" w:cs="黑体" w:hint="eastAsia"/>
                      <w:b/>
                      <w:bCs/>
                      <w:sz w:val="28"/>
                      <w:szCs w:val="28"/>
                    </w:rPr>
                    <w:t>分摊方式</w:t>
                  </w:r>
                </w:p>
              </w:tc>
              <w:tc>
                <w:tcPr>
                  <w:tcW w:w="3369" w:type="dxa"/>
                </w:tcPr>
                <w:p w14:paraId="748F1E7A" w14:textId="77777777" w:rsidR="00656788" w:rsidRDefault="00000000">
                  <w:pPr>
                    <w:spacing w:line="600" w:lineRule="exact"/>
                    <w:jc w:val="center"/>
                    <w:rPr>
                      <w:rFonts w:ascii="黑体" w:eastAsia="黑体" w:hAnsi="黑体" w:cs="黑体" w:hint="eastAsia"/>
                      <w:b/>
                      <w:bCs/>
                      <w:sz w:val="28"/>
                      <w:szCs w:val="28"/>
                    </w:rPr>
                  </w:pPr>
                  <w:r>
                    <w:rPr>
                      <w:rFonts w:ascii="黑体" w:eastAsia="黑体" w:hAnsi="黑体" w:cs="黑体" w:hint="eastAsia"/>
                      <w:b/>
                      <w:bCs/>
                      <w:sz w:val="28"/>
                      <w:szCs w:val="28"/>
                    </w:rPr>
                    <w:t>说明</w:t>
                  </w:r>
                </w:p>
              </w:tc>
            </w:tr>
            <w:tr w:rsidR="00656788" w14:paraId="58037ADE" w14:textId="77777777">
              <w:tc>
                <w:tcPr>
                  <w:tcW w:w="3297" w:type="dxa"/>
                  <w:vAlign w:val="center"/>
                </w:tcPr>
                <w:p w14:paraId="3CF24DBC" w14:textId="77777777" w:rsidR="00656788" w:rsidRDefault="00000000">
                  <w:pPr>
                    <w:spacing w:line="4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战略型人才范围确定、人才标准制定、人才盘点数据分析、人才池建设等</w:t>
                  </w:r>
                </w:p>
              </w:tc>
              <w:tc>
                <w:tcPr>
                  <w:tcW w:w="1967" w:type="dxa"/>
                  <w:vAlign w:val="center"/>
                </w:tcPr>
                <w:p w14:paraId="7393A4B7" w14:textId="77777777" w:rsidR="00656788"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由各分（子）公司平均分摊</w:t>
                  </w:r>
                </w:p>
              </w:tc>
              <w:tc>
                <w:tcPr>
                  <w:tcW w:w="3369" w:type="dxa"/>
                  <w:vAlign w:val="center"/>
                </w:tcPr>
                <w:p w14:paraId="1048EA12" w14:textId="77777777" w:rsidR="00656788"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环节成果具有全局性、通用性，可服务于钱江水利各分子公司人才管理工作</w:t>
                  </w:r>
                </w:p>
              </w:tc>
            </w:tr>
            <w:tr w:rsidR="00656788" w14:paraId="3786A19D" w14:textId="77777777">
              <w:tc>
                <w:tcPr>
                  <w:tcW w:w="3297" w:type="dxa"/>
                  <w:vAlign w:val="center"/>
                </w:tcPr>
                <w:p w14:paraId="2CF296D1" w14:textId="77777777" w:rsidR="00656788" w:rsidRDefault="00000000">
                  <w:pPr>
                    <w:spacing w:line="4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人才盘点实施</w:t>
                  </w:r>
                </w:p>
              </w:tc>
              <w:tc>
                <w:tcPr>
                  <w:tcW w:w="1967" w:type="dxa"/>
                  <w:vAlign w:val="center"/>
                </w:tcPr>
                <w:p w14:paraId="62B767AF" w14:textId="77777777" w:rsidR="00656788"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根据各分（子）公司员工人数按比例分摊</w:t>
                  </w:r>
                </w:p>
              </w:tc>
              <w:tc>
                <w:tcPr>
                  <w:tcW w:w="3369" w:type="dxa"/>
                  <w:vAlign w:val="center"/>
                </w:tcPr>
                <w:p w14:paraId="67956E80" w14:textId="77777777" w:rsidR="00656788" w:rsidRDefault="00000000">
                  <w:pPr>
                    <w:spacing w:line="40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该环节费用与实际测评及盘点人数直接相关，体现“谁受益、谁承担”的原则</w:t>
                  </w:r>
                </w:p>
              </w:tc>
            </w:tr>
          </w:tbl>
          <w:p w14:paraId="2F8ABEAD" w14:textId="77777777" w:rsidR="00656788" w:rsidRDefault="00656788">
            <w:pPr>
              <w:shd w:val="clear" w:color="auto" w:fill="FFFFFF"/>
              <w:spacing w:line="560" w:lineRule="exact"/>
              <w:rPr>
                <w:rFonts w:ascii="仿宋_GB2312" w:eastAsia="仿宋_GB2312"/>
                <w:color w:val="000000" w:themeColor="text1"/>
                <w:sz w:val="28"/>
                <w:szCs w:val="28"/>
              </w:rPr>
            </w:pPr>
          </w:p>
        </w:tc>
      </w:tr>
      <w:tr w:rsidR="00656788" w14:paraId="00DB4B35" w14:textId="77777777">
        <w:trPr>
          <w:trHeight w:val="510"/>
          <w:jc w:val="center"/>
        </w:trPr>
        <w:tc>
          <w:tcPr>
            <w:tcW w:w="1980" w:type="dxa"/>
            <w:tcBorders>
              <w:top w:val="nil"/>
              <w:left w:val="single" w:sz="4" w:space="0" w:color="auto"/>
              <w:bottom w:val="single" w:sz="4" w:space="0" w:color="auto"/>
              <w:right w:val="single" w:sz="4" w:space="0" w:color="auto"/>
            </w:tcBorders>
            <w:vAlign w:val="center"/>
          </w:tcPr>
          <w:p w14:paraId="1EAC5AD1"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采购事</w:t>
            </w:r>
            <w:r>
              <w:rPr>
                <w:rFonts w:ascii="仿宋_GB2312" w:eastAsia="仿宋_GB2312" w:hint="eastAsia"/>
                <w:color w:val="000000" w:themeColor="text1"/>
                <w:sz w:val="28"/>
                <w:szCs w:val="28"/>
              </w:rPr>
              <w:lastRenderedPageBreak/>
              <w:t>项批复情况</w:t>
            </w:r>
          </w:p>
        </w:tc>
        <w:tc>
          <w:tcPr>
            <w:tcW w:w="8036" w:type="dxa"/>
            <w:gridSpan w:val="2"/>
            <w:tcBorders>
              <w:top w:val="single" w:sz="4" w:space="0" w:color="auto"/>
              <w:left w:val="nil"/>
              <w:bottom w:val="single" w:sz="4" w:space="0" w:color="auto"/>
              <w:right w:val="single" w:sz="4" w:space="0" w:color="auto"/>
            </w:tcBorders>
            <w:vAlign w:val="center"/>
          </w:tcPr>
          <w:p w14:paraId="247067F6" w14:textId="77777777" w:rsidR="00656788" w:rsidRDefault="00000000">
            <w:pPr>
              <w:spacing w:line="800" w:lineRule="exact"/>
              <w:jc w:val="lef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签报文件：《关于开展钱江水利开发股份有限公司全级次人才盘点的建</w:t>
            </w:r>
            <w:r>
              <w:rPr>
                <w:rFonts w:ascii="仿宋_GB2312" w:eastAsia="仿宋_GB2312" w:hint="eastAsia"/>
                <w:color w:val="000000" w:themeColor="text1"/>
                <w:sz w:val="28"/>
                <w:szCs w:val="28"/>
              </w:rPr>
              <w:lastRenderedPageBreak/>
              <w:t>议方案</w:t>
            </w:r>
            <w:proofErr w:type="gramStart"/>
            <w:r>
              <w:rPr>
                <w:rFonts w:ascii="仿宋_GB2312" w:eastAsia="仿宋_GB2312" w:hint="eastAsia"/>
                <w:color w:val="000000" w:themeColor="text1"/>
                <w:sz w:val="28"/>
                <w:szCs w:val="28"/>
              </w:rPr>
              <w:t>》</w:t>
            </w:r>
            <w:proofErr w:type="gramEnd"/>
          </w:p>
        </w:tc>
      </w:tr>
      <w:tr w:rsidR="00656788" w14:paraId="491CA73F" w14:textId="77777777">
        <w:trPr>
          <w:trHeight w:val="4464"/>
          <w:jc w:val="center"/>
        </w:trPr>
        <w:tc>
          <w:tcPr>
            <w:tcW w:w="1980" w:type="dxa"/>
            <w:tcBorders>
              <w:top w:val="nil"/>
              <w:left w:val="single" w:sz="4" w:space="0" w:color="auto"/>
              <w:bottom w:val="single" w:sz="4" w:space="0" w:color="auto"/>
              <w:right w:val="single" w:sz="4" w:space="0" w:color="auto"/>
            </w:tcBorders>
            <w:vAlign w:val="center"/>
          </w:tcPr>
          <w:p w14:paraId="5E5714C5"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前期市场调研情况</w:t>
            </w:r>
          </w:p>
        </w:tc>
        <w:tc>
          <w:tcPr>
            <w:tcW w:w="8036" w:type="dxa"/>
            <w:gridSpan w:val="2"/>
            <w:tcBorders>
              <w:top w:val="single" w:sz="4" w:space="0" w:color="auto"/>
              <w:left w:val="nil"/>
              <w:bottom w:val="single" w:sz="4" w:space="0" w:color="auto"/>
              <w:right w:val="single" w:sz="4" w:space="0" w:color="auto"/>
            </w:tcBorders>
            <w:vAlign w:val="center"/>
          </w:tcPr>
          <w:p w14:paraId="18210FD7" w14:textId="77777777" w:rsidR="00656788" w:rsidRDefault="00000000">
            <w:pPr>
              <w:shd w:val="clear" w:color="auto" w:fill="FFFFFF"/>
              <w:spacing w:line="56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通过市场调研询价，结果如下，综合确定控制价（根据调研价格平均值计算）为58.2万元：</w:t>
            </w:r>
          </w:p>
          <w:tbl>
            <w:tblPr>
              <w:tblStyle w:val="aa"/>
              <w:tblW w:w="4998" w:type="pct"/>
              <w:tblLook w:val="04A0" w:firstRow="1" w:lastRow="0" w:firstColumn="1" w:lastColumn="0" w:noHBand="0" w:noVBand="1"/>
            </w:tblPr>
            <w:tblGrid>
              <w:gridCol w:w="2705"/>
              <w:gridCol w:w="3765"/>
              <w:gridCol w:w="2205"/>
            </w:tblGrid>
            <w:tr w:rsidR="00656788" w14:paraId="13520531" w14:textId="77777777">
              <w:trPr>
                <w:trHeight w:val="408"/>
              </w:trPr>
              <w:tc>
                <w:tcPr>
                  <w:tcW w:w="1559" w:type="pct"/>
                </w:tcPr>
                <w:p w14:paraId="625D7709"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服务内容</w:t>
                  </w:r>
                </w:p>
              </w:tc>
              <w:tc>
                <w:tcPr>
                  <w:tcW w:w="2170" w:type="pct"/>
                </w:tcPr>
                <w:p w14:paraId="36AC8EC7"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单位</w:t>
                  </w:r>
                </w:p>
              </w:tc>
              <w:tc>
                <w:tcPr>
                  <w:tcW w:w="1271" w:type="pct"/>
                </w:tcPr>
                <w:p w14:paraId="14EE4176"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报价（单位：万元）</w:t>
                  </w:r>
                </w:p>
              </w:tc>
            </w:tr>
            <w:tr w:rsidR="00656788" w14:paraId="4003CC53" w14:textId="77777777">
              <w:tc>
                <w:tcPr>
                  <w:tcW w:w="2434" w:type="dxa"/>
                  <w:vAlign w:val="center"/>
                </w:tcPr>
                <w:p w14:paraId="4C9DDA8D"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人才盘点</w:t>
                  </w:r>
                </w:p>
              </w:tc>
              <w:tc>
                <w:tcPr>
                  <w:tcW w:w="3388" w:type="dxa"/>
                  <w:vAlign w:val="center"/>
                </w:tcPr>
                <w:p w14:paraId="5ED64470" w14:textId="77777777" w:rsidR="00656788" w:rsidRDefault="00000000">
                  <w:pPr>
                    <w:widowControl/>
                    <w:jc w:val="left"/>
                    <w:textAlignment w:val="center"/>
                    <w:rPr>
                      <w:rFonts w:ascii="宋体" w:eastAsia="宋体" w:hAnsi="宋体" w:cs="宋体" w:hint="eastAsia"/>
                      <w:color w:val="000000"/>
                      <w:kern w:val="0"/>
                      <w:sz w:val="22"/>
                      <w:lang w:bidi="ar"/>
                    </w:rPr>
                  </w:pPr>
                  <w:proofErr w:type="gramStart"/>
                  <w:r>
                    <w:rPr>
                      <w:rFonts w:ascii="宋体" w:eastAsia="宋体" w:hAnsi="宋体" w:cs="宋体" w:hint="eastAsia"/>
                      <w:color w:val="000000"/>
                      <w:kern w:val="0"/>
                      <w:sz w:val="22"/>
                      <w:lang w:bidi="ar"/>
                    </w:rPr>
                    <w:t>前锦网络</w:t>
                  </w:r>
                  <w:proofErr w:type="gramEnd"/>
                  <w:r>
                    <w:rPr>
                      <w:rFonts w:ascii="宋体" w:eastAsia="宋体" w:hAnsi="宋体" w:cs="宋体" w:hint="eastAsia"/>
                      <w:color w:val="000000"/>
                      <w:kern w:val="0"/>
                      <w:sz w:val="22"/>
                      <w:lang w:bidi="ar"/>
                    </w:rPr>
                    <w:t>信息技术（上海）有限公司</w:t>
                  </w:r>
                </w:p>
              </w:tc>
              <w:tc>
                <w:tcPr>
                  <w:tcW w:w="1985" w:type="dxa"/>
                  <w:vAlign w:val="center"/>
                </w:tcPr>
                <w:p w14:paraId="5D0C6822" w14:textId="77777777" w:rsidR="00656788"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56.00</w:t>
                  </w:r>
                </w:p>
              </w:tc>
            </w:tr>
            <w:tr w:rsidR="00656788" w14:paraId="1DF77EF2" w14:textId="77777777">
              <w:tc>
                <w:tcPr>
                  <w:tcW w:w="2434" w:type="dxa"/>
                  <w:vAlign w:val="center"/>
                </w:tcPr>
                <w:p w14:paraId="6CC25C2C"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人才盘点</w:t>
                  </w:r>
                </w:p>
              </w:tc>
              <w:tc>
                <w:tcPr>
                  <w:tcW w:w="3388" w:type="dxa"/>
                  <w:vAlign w:val="center"/>
                </w:tcPr>
                <w:p w14:paraId="775703E2"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同道精英（天津）信息技术有限公司浙江分公司</w:t>
                  </w:r>
                </w:p>
              </w:tc>
              <w:tc>
                <w:tcPr>
                  <w:tcW w:w="1985" w:type="dxa"/>
                  <w:vAlign w:val="center"/>
                </w:tcPr>
                <w:p w14:paraId="603CF7B3" w14:textId="77777777" w:rsidR="00656788"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61.00</w:t>
                  </w:r>
                </w:p>
              </w:tc>
            </w:tr>
            <w:tr w:rsidR="00656788" w14:paraId="565D8A97" w14:textId="77777777">
              <w:trPr>
                <w:trHeight w:val="365"/>
              </w:trPr>
              <w:tc>
                <w:tcPr>
                  <w:tcW w:w="2434" w:type="dxa"/>
                  <w:vAlign w:val="center"/>
                </w:tcPr>
                <w:p w14:paraId="3ACDD97D"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人才盘点</w:t>
                  </w:r>
                </w:p>
              </w:tc>
              <w:tc>
                <w:tcPr>
                  <w:tcW w:w="3388" w:type="dxa"/>
                  <w:vAlign w:val="center"/>
                </w:tcPr>
                <w:p w14:paraId="061D6682" w14:textId="77777777" w:rsidR="00656788" w:rsidRDefault="00000000">
                  <w:pPr>
                    <w:widowControl/>
                    <w:jc w:val="left"/>
                    <w:textAlignment w:val="center"/>
                    <w:rPr>
                      <w:rFonts w:ascii="宋体" w:eastAsia="宋体" w:hAnsi="宋体" w:cs="宋体" w:hint="eastAsia"/>
                      <w:color w:val="000000"/>
                      <w:kern w:val="0"/>
                      <w:sz w:val="22"/>
                      <w:lang w:bidi="ar"/>
                    </w:rPr>
                  </w:pPr>
                  <w:proofErr w:type="gramStart"/>
                  <w:r>
                    <w:rPr>
                      <w:rFonts w:ascii="宋体" w:eastAsia="宋体" w:hAnsi="宋体" w:cs="宋体" w:hint="eastAsia"/>
                      <w:color w:val="000000"/>
                      <w:kern w:val="0"/>
                      <w:sz w:val="22"/>
                      <w:lang w:bidi="ar"/>
                    </w:rPr>
                    <w:t>北森云计算</w:t>
                  </w:r>
                  <w:proofErr w:type="gramEnd"/>
                  <w:r>
                    <w:rPr>
                      <w:rFonts w:ascii="宋体" w:eastAsia="宋体" w:hAnsi="宋体" w:cs="宋体" w:hint="eastAsia"/>
                      <w:color w:val="000000"/>
                      <w:kern w:val="0"/>
                      <w:sz w:val="22"/>
                      <w:lang w:bidi="ar"/>
                    </w:rPr>
                    <w:t>有限公司</w:t>
                  </w:r>
                </w:p>
              </w:tc>
              <w:tc>
                <w:tcPr>
                  <w:tcW w:w="1985" w:type="dxa"/>
                  <w:vAlign w:val="center"/>
                </w:tcPr>
                <w:p w14:paraId="30F23164" w14:textId="77777777" w:rsidR="00656788"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50.00</w:t>
                  </w:r>
                </w:p>
              </w:tc>
            </w:tr>
            <w:tr w:rsidR="00656788" w14:paraId="5438E0C6" w14:textId="77777777">
              <w:tc>
                <w:tcPr>
                  <w:tcW w:w="2434" w:type="dxa"/>
                  <w:vAlign w:val="center"/>
                </w:tcPr>
                <w:p w14:paraId="5D9AA4B6"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人才盘点</w:t>
                  </w:r>
                </w:p>
              </w:tc>
              <w:tc>
                <w:tcPr>
                  <w:tcW w:w="3388" w:type="dxa"/>
                  <w:vAlign w:val="center"/>
                </w:tcPr>
                <w:p w14:paraId="10ADBC80"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杭州</w:t>
                  </w:r>
                  <w:proofErr w:type="gramStart"/>
                  <w:r>
                    <w:rPr>
                      <w:rFonts w:ascii="宋体" w:eastAsia="宋体" w:hAnsi="宋体" w:cs="宋体" w:hint="eastAsia"/>
                      <w:color w:val="000000"/>
                      <w:kern w:val="0"/>
                      <w:sz w:val="22"/>
                      <w:lang w:bidi="ar"/>
                    </w:rPr>
                    <w:t>卓途网络</w:t>
                  </w:r>
                  <w:proofErr w:type="gramEnd"/>
                  <w:r>
                    <w:rPr>
                      <w:rFonts w:ascii="宋体" w:eastAsia="宋体" w:hAnsi="宋体" w:cs="宋体" w:hint="eastAsia"/>
                      <w:color w:val="000000"/>
                      <w:kern w:val="0"/>
                      <w:sz w:val="22"/>
                      <w:lang w:bidi="ar"/>
                    </w:rPr>
                    <w:t>科技有限公司</w:t>
                  </w:r>
                </w:p>
              </w:tc>
              <w:tc>
                <w:tcPr>
                  <w:tcW w:w="1985" w:type="dxa"/>
                  <w:vAlign w:val="center"/>
                </w:tcPr>
                <w:p w14:paraId="742540EE" w14:textId="77777777" w:rsidR="00656788"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85.00</w:t>
                  </w:r>
                </w:p>
              </w:tc>
            </w:tr>
            <w:tr w:rsidR="00656788" w14:paraId="7BD38CFB" w14:textId="77777777">
              <w:trPr>
                <w:trHeight w:val="277"/>
              </w:trPr>
              <w:tc>
                <w:tcPr>
                  <w:tcW w:w="2434" w:type="dxa"/>
                  <w:vAlign w:val="center"/>
                </w:tcPr>
                <w:p w14:paraId="2513DE94"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人才盘点</w:t>
                  </w:r>
                </w:p>
              </w:tc>
              <w:tc>
                <w:tcPr>
                  <w:tcW w:w="3388" w:type="dxa"/>
                  <w:vAlign w:val="center"/>
                </w:tcPr>
                <w:p w14:paraId="064E94A8" w14:textId="77777777" w:rsidR="0065678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杭州五点半人力资源开发有限公司</w:t>
                  </w:r>
                </w:p>
              </w:tc>
              <w:tc>
                <w:tcPr>
                  <w:tcW w:w="1985" w:type="dxa"/>
                  <w:vAlign w:val="center"/>
                </w:tcPr>
                <w:p w14:paraId="0FA9B00D" w14:textId="77777777" w:rsidR="00656788"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39.00</w:t>
                  </w:r>
                </w:p>
              </w:tc>
            </w:tr>
          </w:tbl>
          <w:p w14:paraId="4FA9EC55" w14:textId="77777777" w:rsidR="00656788" w:rsidRDefault="00656788">
            <w:pPr>
              <w:widowControl/>
              <w:jc w:val="left"/>
              <w:textAlignment w:val="center"/>
              <w:rPr>
                <w:rFonts w:ascii="宋体" w:eastAsia="宋体" w:hAnsi="宋体" w:cs="宋体" w:hint="eastAsia"/>
                <w:color w:val="000000"/>
                <w:kern w:val="0"/>
                <w:sz w:val="22"/>
                <w:lang w:bidi="ar"/>
              </w:rPr>
            </w:pPr>
          </w:p>
        </w:tc>
      </w:tr>
      <w:tr w:rsidR="00656788" w14:paraId="7E856423" w14:textId="77777777">
        <w:trPr>
          <w:trHeight w:val="596"/>
          <w:jc w:val="center"/>
        </w:trPr>
        <w:tc>
          <w:tcPr>
            <w:tcW w:w="1980" w:type="dxa"/>
            <w:tcBorders>
              <w:top w:val="nil"/>
              <w:left w:val="single" w:sz="4" w:space="0" w:color="auto"/>
              <w:bottom w:val="single" w:sz="4" w:space="0" w:color="auto"/>
              <w:right w:val="single" w:sz="4" w:space="0" w:color="auto"/>
            </w:tcBorders>
            <w:vAlign w:val="center"/>
          </w:tcPr>
          <w:p w14:paraId="77E0F26A"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服务内容</w:t>
            </w:r>
          </w:p>
        </w:tc>
        <w:tc>
          <w:tcPr>
            <w:tcW w:w="8036" w:type="dxa"/>
            <w:gridSpan w:val="2"/>
            <w:tcBorders>
              <w:top w:val="single" w:sz="4" w:space="0" w:color="auto"/>
              <w:left w:val="nil"/>
              <w:bottom w:val="single" w:sz="4" w:space="0" w:color="auto"/>
              <w:right w:val="single" w:sz="4" w:space="0" w:color="auto"/>
            </w:tcBorders>
            <w:vAlign w:val="center"/>
          </w:tcPr>
          <w:p w14:paraId="03315FC4" w14:textId="77777777" w:rsidR="00656788" w:rsidRDefault="00000000">
            <w:pPr>
              <w:shd w:val="clear" w:color="auto" w:fill="FFFFFF"/>
              <w:spacing w:line="560" w:lineRule="exact"/>
              <w:rPr>
                <w:rFonts w:ascii="仿宋_GB2312" w:eastAsia="仿宋_GB2312"/>
                <w:color w:val="000000" w:themeColor="text1"/>
                <w:sz w:val="28"/>
                <w:szCs w:val="28"/>
              </w:rPr>
            </w:pPr>
            <w:r>
              <w:rPr>
                <w:rFonts w:ascii="仿宋_GB2312" w:eastAsia="仿宋_GB2312" w:hint="eastAsia"/>
                <w:color w:val="000000" w:themeColor="text1"/>
                <w:sz w:val="28"/>
                <w:szCs w:val="28"/>
              </w:rPr>
              <w:t>1.</w:t>
            </w:r>
            <w:bookmarkStart w:id="2" w:name="_Hlk212725506"/>
            <w:r>
              <w:rPr>
                <w:rFonts w:ascii="仿宋_GB2312" w:eastAsia="仿宋_GB2312" w:hint="eastAsia"/>
                <w:color w:val="000000" w:themeColor="text1"/>
                <w:sz w:val="28"/>
                <w:szCs w:val="28"/>
              </w:rPr>
              <w:t>通过资料分析、高层访谈、标杆访谈等方式，输出战略型人才报告，包含业务解读、业务价值链、专业序列划分等内容；</w:t>
            </w:r>
          </w:p>
          <w:p w14:paraId="18E9E7F5" w14:textId="77777777" w:rsidR="00656788" w:rsidRDefault="00000000">
            <w:pPr>
              <w:shd w:val="clear" w:color="auto" w:fill="FFFFFF"/>
              <w:spacing w:line="560" w:lineRule="exact"/>
              <w:rPr>
                <w:rFonts w:ascii="仿宋_GB2312" w:eastAsia="仿宋_GB2312"/>
                <w:color w:val="000000" w:themeColor="text1"/>
                <w:sz w:val="28"/>
                <w:szCs w:val="28"/>
              </w:rPr>
            </w:pPr>
            <w:r>
              <w:rPr>
                <w:rFonts w:ascii="仿宋_GB2312" w:eastAsia="仿宋_GB2312"/>
                <w:color w:val="000000" w:themeColor="text1"/>
                <w:sz w:val="28"/>
                <w:szCs w:val="28"/>
              </w:rPr>
              <w:t>2</w:t>
            </w:r>
            <w:r>
              <w:rPr>
                <w:rFonts w:ascii="仿宋_GB2312" w:eastAsia="仿宋_GB2312" w:hint="eastAsia"/>
                <w:color w:val="000000" w:themeColor="text1"/>
                <w:sz w:val="28"/>
                <w:szCs w:val="28"/>
              </w:rPr>
              <w:t>.通过专家访谈、研讨共创工作坊等过程，制定公司人才标准，包含战略型和非战略型不同序列人员的人才标准成果。</w:t>
            </w:r>
          </w:p>
          <w:p w14:paraId="1C50DE30" w14:textId="77777777" w:rsidR="00656788" w:rsidRDefault="00000000">
            <w:pPr>
              <w:shd w:val="clear" w:color="auto" w:fill="FFFFFF"/>
              <w:spacing w:line="560" w:lineRule="exact"/>
              <w:rPr>
                <w:rFonts w:ascii="仿宋_GB2312" w:eastAsia="仿宋_GB2312"/>
                <w:color w:val="000000" w:themeColor="text1"/>
                <w:sz w:val="28"/>
                <w:szCs w:val="28"/>
              </w:rPr>
            </w:pPr>
            <w:r>
              <w:rPr>
                <w:rFonts w:ascii="仿宋_GB2312" w:eastAsia="仿宋_GB2312"/>
                <w:color w:val="000000" w:themeColor="text1"/>
                <w:sz w:val="28"/>
                <w:szCs w:val="28"/>
              </w:rPr>
              <w:t>3</w:t>
            </w:r>
            <w:r>
              <w:rPr>
                <w:rFonts w:ascii="仿宋_GB2312" w:eastAsia="仿宋_GB2312" w:hint="eastAsia"/>
                <w:color w:val="000000" w:themeColor="text1"/>
                <w:sz w:val="28"/>
                <w:szCs w:val="28"/>
              </w:rPr>
              <w:t>.通过性格测评、管理测评、360测评、人才校准会等方式，完成公司全级次人才盘点，包含人才健康度分析、核心团队搭配建议、个人测评报告解读、学习地图绘制等内容。</w:t>
            </w:r>
          </w:p>
          <w:p w14:paraId="4B5476D3" w14:textId="77777777" w:rsidR="00656788" w:rsidRDefault="00000000">
            <w:pPr>
              <w:shd w:val="clear" w:color="auto" w:fill="FFFFFF"/>
              <w:spacing w:line="560" w:lineRule="exact"/>
              <w:rPr>
                <w:rFonts w:ascii="仿宋_GB2312" w:eastAsia="仿宋_GB2312"/>
                <w:color w:val="000000" w:themeColor="text1"/>
                <w:sz w:val="28"/>
                <w:szCs w:val="28"/>
              </w:rPr>
            </w:pPr>
            <w:r>
              <w:rPr>
                <w:rFonts w:ascii="仿宋_GB2312" w:eastAsia="仿宋_GB2312"/>
                <w:color w:val="000000" w:themeColor="text1"/>
                <w:sz w:val="28"/>
                <w:szCs w:val="28"/>
              </w:rPr>
              <w:t>4</w:t>
            </w:r>
            <w:r>
              <w:rPr>
                <w:rFonts w:ascii="仿宋_GB2312" w:eastAsia="仿宋_GB2312" w:hint="eastAsia"/>
                <w:color w:val="000000" w:themeColor="text1"/>
                <w:sz w:val="28"/>
                <w:szCs w:val="28"/>
              </w:rPr>
              <w:t>.构建公司全级次人才池，包含人才池模型、分序列人次池数据、</w:t>
            </w:r>
            <w:proofErr w:type="gramStart"/>
            <w:r>
              <w:rPr>
                <w:rFonts w:ascii="仿宋_GB2312" w:eastAsia="仿宋_GB2312" w:hint="eastAsia"/>
                <w:color w:val="000000" w:themeColor="text1"/>
                <w:sz w:val="28"/>
                <w:szCs w:val="28"/>
              </w:rPr>
              <w:t>战略型百人</w:t>
            </w:r>
            <w:proofErr w:type="gramEnd"/>
            <w:r>
              <w:rPr>
                <w:rFonts w:ascii="仿宋_GB2312" w:eastAsia="仿宋_GB2312" w:hint="eastAsia"/>
                <w:color w:val="000000" w:themeColor="text1"/>
                <w:sz w:val="28"/>
                <w:szCs w:val="28"/>
              </w:rPr>
              <w:t>人才池数据、人才</w:t>
            </w:r>
            <w:proofErr w:type="gramStart"/>
            <w:r>
              <w:rPr>
                <w:rFonts w:ascii="仿宋_GB2312" w:eastAsia="仿宋_GB2312" w:hint="eastAsia"/>
                <w:color w:val="000000" w:themeColor="text1"/>
                <w:sz w:val="28"/>
                <w:szCs w:val="28"/>
              </w:rPr>
              <w:t>池管理</w:t>
            </w:r>
            <w:proofErr w:type="gramEnd"/>
            <w:r>
              <w:rPr>
                <w:rFonts w:ascii="仿宋_GB2312" w:eastAsia="仿宋_GB2312" w:hint="eastAsia"/>
                <w:color w:val="000000" w:themeColor="text1"/>
                <w:sz w:val="28"/>
                <w:szCs w:val="28"/>
              </w:rPr>
              <w:t>机制等内容。</w:t>
            </w:r>
            <w:bookmarkEnd w:id="2"/>
          </w:p>
        </w:tc>
      </w:tr>
      <w:tr w:rsidR="00656788" w14:paraId="693D77B5" w14:textId="77777777">
        <w:trPr>
          <w:trHeight w:val="510"/>
          <w:jc w:val="center"/>
        </w:trPr>
        <w:tc>
          <w:tcPr>
            <w:tcW w:w="1980" w:type="dxa"/>
            <w:tcBorders>
              <w:top w:val="nil"/>
              <w:left w:val="single" w:sz="4" w:space="0" w:color="auto"/>
              <w:bottom w:val="single" w:sz="4" w:space="0" w:color="auto"/>
              <w:right w:val="single" w:sz="4" w:space="0" w:color="auto"/>
            </w:tcBorders>
            <w:vAlign w:val="center"/>
          </w:tcPr>
          <w:p w14:paraId="4134AF98"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采购方式及合理性说明</w:t>
            </w:r>
          </w:p>
        </w:tc>
        <w:tc>
          <w:tcPr>
            <w:tcW w:w="8036" w:type="dxa"/>
            <w:gridSpan w:val="2"/>
            <w:tcBorders>
              <w:top w:val="single" w:sz="4" w:space="0" w:color="auto"/>
              <w:left w:val="nil"/>
              <w:bottom w:val="single" w:sz="4" w:space="0" w:color="auto"/>
              <w:right w:val="single" w:sz="4" w:space="0" w:color="auto"/>
            </w:tcBorders>
            <w:vAlign w:val="center"/>
          </w:tcPr>
          <w:p w14:paraId="1D413290"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t>公开</w:t>
            </w:r>
            <w:proofErr w:type="gramStart"/>
            <w:r>
              <w:rPr>
                <w:rFonts w:ascii="仿宋_GB2312" w:eastAsia="仿宋_GB2312" w:hint="eastAsia"/>
                <w:color w:val="000000" w:themeColor="text1"/>
                <w:sz w:val="28"/>
                <w:szCs w:val="28"/>
              </w:rPr>
              <w:t>询</w:t>
            </w:r>
            <w:proofErr w:type="gramEnd"/>
            <w:r>
              <w:rPr>
                <w:rFonts w:ascii="仿宋_GB2312" w:eastAsia="仿宋_GB2312" w:hint="eastAsia"/>
                <w:color w:val="000000" w:themeColor="text1"/>
                <w:sz w:val="28"/>
                <w:szCs w:val="28"/>
              </w:rPr>
              <w:t>比</w:t>
            </w:r>
          </w:p>
        </w:tc>
      </w:tr>
      <w:tr w:rsidR="00656788" w14:paraId="20D5930B" w14:textId="77777777">
        <w:trPr>
          <w:trHeight w:val="510"/>
          <w:jc w:val="center"/>
        </w:trPr>
        <w:tc>
          <w:tcPr>
            <w:tcW w:w="1980" w:type="dxa"/>
            <w:tcBorders>
              <w:top w:val="nil"/>
              <w:left w:val="single" w:sz="4" w:space="0" w:color="auto"/>
              <w:bottom w:val="single" w:sz="4" w:space="0" w:color="auto"/>
              <w:right w:val="single" w:sz="4" w:space="0" w:color="auto"/>
            </w:tcBorders>
            <w:vAlign w:val="center"/>
          </w:tcPr>
          <w:p w14:paraId="5E5F97DC"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采购实</w:t>
            </w:r>
            <w:r>
              <w:rPr>
                <w:rFonts w:ascii="仿宋_GB2312" w:eastAsia="仿宋_GB2312" w:hint="eastAsia"/>
                <w:color w:val="000000" w:themeColor="text1"/>
                <w:sz w:val="28"/>
                <w:szCs w:val="28"/>
              </w:rPr>
              <w:lastRenderedPageBreak/>
              <w:t>施进度安排</w:t>
            </w:r>
          </w:p>
        </w:tc>
        <w:tc>
          <w:tcPr>
            <w:tcW w:w="8036" w:type="dxa"/>
            <w:gridSpan w:val="2"/>
            <w:tcBorders>
              <w:top w:val="single" w:sz="4" w:space="0" w:color="auto"/>
              <w:left w:val="nil"/>
              <w:bottom w:val="single" w:sz="4" w:space="0" w:color="auto"/>
              <w:right w:val="single" w:sz="4" w:space="0" w:color="auto"/>
            </w:tcBorders>
            <w:vAlign w:val="center"/>
          </w:tcPr>
          <w:p w14:paraId="50CC1659"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11月上旬</w:t>
            </w:r>
            <w:proofErr w:type="gramStart"/>
            <w:r>
              <w:rPr>
                <w:rFonts w:ascii="仿宋_GB2312" w:eastAsia="仿宋_GB2312" w:hint="eastAsia"/>
                <w:color w:val="000000" w:themeColor="text1"/>
                <w:sz w:val="28"/>
                <w:szCs w:val="28"/>
              </w:rPr>
              <w:t>发布招采公告</w:t>
            </w:r>
            <w:proofErr w:type="gramEnd"/>
            <w:r>
              <w:rPr>
                <w:rFonts w:ascii="仿宋_GB2312" w:eastAsia="仿宋_GB2312" w:hint="eastAsia"/>
                <w:color w:val="000000" w:themeColor="text1"/>
                <w:sz w:val="28"/>
                <w:szCs w:val="28"/>
              </w:rPr>
              <w:t>；</w:t>
            </w:r>
          </w:p>
          <w:p w14:paraId="60429300"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11月中旬完成评审。</w:t>
            </w:r>
          </w:p>
        </w:tc>
      </w:tr>
      <w:tr w:rsidR="00656788" w14:paraId="07D25DCD" w14:textId="77777777">
        <w:trPr>
          <w:trHeight w:val="90"/>
          <w:jc w:val="center"/>
        </w:trPr>
        <w:tc>
          <w:tcPr>
            <w:tcW w:w="1980" w:type="dxa"/>
            <w:tcBorders>
              <w:top w:val="nil"/>
              <w:left w:val="single" w:sz="4" w:space="0" w:color="auto"/>
              <w:bottom w:val="single" w:sz="4" w:space="0" w:color="auto"/>
              <w:right w:val="single" w:sz="4" w:space="0" w:color="auto"/>
            </w:tcBorders>
            <w:vAlign w:val="center"/>
          </w:tcPr>
          <w:p w14:paraId="265E1E4C"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是否选用采购代理机构</w:t>
            </w:r>
          </w:p>
        </w:tc>
        <w:tc>
          <w:tcPr>
            <w:tcW w:w="8036" w:type="dxa"/>
            <w:gridSpan w:val="2"/>
            <w:tcBorders>
              <w:top w:val="single" w:sz="4" w:space="0" w:color="auto"/>
              <w:left w:val="nil"/>
              <w:bottom w:val="single" w:sz="4" w:space="0" w:color="auto"/>
              <w:right w:val="single" w:sz="4" w:space="0" w:color="auto"/>
            </w:tcBorders>
            <w:vAlign w:val="center"/>
          </w:tcPr>
          <w:p w14:paraId="03BD14C4"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t>否</w:t>
            </w:r>
          </w:p>
        </w:tc>
      </w:tr>
      <w:tr w:rsidR="00656788" w14:paraId="23BCA043" w14:textId="77777777">
        <w:trPr>
          <w:trHeight w:val="169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C653699"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评比办法</w:t>
            </w:r>
          </w:p>
        </w:tc>
        <w:tc>
          <w:tcPr>
            <w:tcW w:w="8036" w:type="dxa"/>
            <w:gridSpan w:val="2"/>
            <w:tcBorders>
              <w:top w:val="single" w:sz="4" w:space="0" w:color="auto"/>
              <w:left w:val="single" w:sz="4" w:space="0" w:color="auto"/>
              <w:bottom w:val="single" w:sz="4" w:space="0" w:color="auto"/>
              <w:right w:val="single" w:sz="4" w:space="0" w:color="auto"/>
            </w:tcBorders>
            <w:vAlign w:val="center"/>
          </w:tcPr>
          <w:p w14:paraId="2D9AD14A" w14:textId="4810FD26"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t>本项目采用综合评分法，综合评分总分为100分，由报价分、资信分、技术分组成。评审采用综合评分法，总分100分，报价50分，资信分10分，技术40分，评审小组根据响应文件对投标人进行独立记名打分，评审得分：计算各评委的最终得分的算术平均值，各供应商的最终得分=资信分+技术分+价格分。最终评审小组按综合分数由高到</w:t>
            </w:r>
            <w:proofErr w:type="gramStart"/>
            <w:r>
              <w:rPr>
                <w:rFonts w:ascii="仿宋_GB2312" w:eastAsia="仿宋_GB2312" w:hint="eastAsia"/>
                <w:color w:val="000000" w:themeColor="text1"/>
                <w:sz w:val="28"/>
                <w:szCs w:val="28"/>
              </w:rPr>
              <w:t>低确定</w:t>
            </w:r>
            <w:proofErr w:type="gramEnd"/>
            <w:r>
              <w:rPr>
                <w:rFonts w:ascii="仿宋_GB2312" w:eastAsia="仿宋_GB2312" w:hint="eastAsia"/>
                <w:color w:val="000000" w:themeColor="text1"/>
                <w:sz w:val="28"/>
                <w:szCs w:val="28"/>
              </w:rPr>
              <w:t>成交候选人3名。最终按综合分数由高到</w:t>
            </w:r>
            <w:proofErr w:type="gramStart"/>
            <w:r>
              <w:rPr>
                <w:rFonts w:ascii="仿宋_GB2312" w:eastAsia="仿宋_GB2312" w:hint="eastAsia"/>
                <w:color w:val="000000" w:themeColor="text1"/>
                <w:sz w:val="28"/>
                <w:szCs w:val="28"/>
              </w:rPr>
              <w:t>低确定</w:t>
            </w:r>
            <w:proofErr w:type="gramEnd"/>
            <w:r>
              <w:rPr>
                <w:rFonts w:ascii="仿宋_GB2312" w:eastAsia="仿宋_GB2312" w:hint="eastAsia"/>
                <w:color w:val="000000" w:themeColor="text1"/>
                <w:sz w:val="28"/>
                <w:szCs w:val="28"/>
              </w:rPr>
              <w:t>成交单位1名，若第一名无法履行本次法律服务，将继续由第二名提供评估服务，直至满足公司需求。</w:t>
            </w:r>
          </w:p>
          <w:p w14:paraId="275BCA3E" w14:textId="77777777" w:rsidR="00656788" w:rsidRDefault="00000000">
            <w:pPr>
              <w:pStyle w:val="a3"/>
              <w:jc w:val="center"/>
              <w:rPr>
                <w:b/>
                <w:bCs/>
              </w:rPr>
            </w:pPr>
            <w:r>
              <w:rPr>
                <w:rFonts w:hint="eastAsia"/>
                <w:b/>
                <w:bCs/>
              </w:rPr>
              <w:t>评审细则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636"/>
              <w:gridCol w:w="1056"/>
              <w:gridCol w:w="5714"/>
              <w:gridCol w:w="636"/>
            </w:tblGrid>
            <w:tr w:rsidR="00656788" w14:paraId="43FEB706" w14:textId="77777777">
              <w:trPr>
                <w:trHeight w:val="560"/>
              </w:trPr>
              <w:tc>
                <w:tcPr>
                  <w:tcW w:w="0" w:type="auto"/>
                  <w:tcBorders>
                    <w:tl2br w:val="nil"/>
                    <w:tr2bl w:val="nil"/>
                  </w:tcBorders>
                  <w:noWrap/>
                  <w:vAlign w:val="center"/>
                </w:tcPr>
                <w:p w14:paraId="076A7582"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序号</w:t>
                  </w:r>
                </w:p>
              </w:tc>
              <w:tc>
                <w:tcPr>
                  <w:tcW w:w="0" w:type="auto"/>
                  <w:tcBorders>
                    <w:tl2br w:val="nil"/>
                    <w:tr2bl w:val="nil"/>
                  </w:tcBorders>
                  <w:noWrap/>
                  <w:vAlign w:val="center"/>
                </w:tcPr>
                <w:p w14:paraId="1A2AAC8F"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分类</w:t>
                  </w:r>
                </w:p>
              </w:tc>
              <w:tc>
                <w:tcPr>
                  <w:tcW w:w="0" w:type="auto"/>
                  <w:tcBorders>
                    <w:tl2br w:val="nil"/>
                    <w:tr2bl w:val="nil"/>
                  </w:tcBorders>
                  <w:noWrap/>
                  <w:vAlign w:val="center"/>
                </w:tcPr>
                <w:p w14:paraId="722AA37E"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项目</w:t>
                  </w:r>
                </w:p>
              </w:tc>
              <w:tc>
                <w:tcPr>
                  <w:tcW w:w="0" w:type="auto"/>
                  <w:tcBorders>
                    <w:tl2br w:val="nil"/>
                    <w:tr2bl w:val="nil"/>
                  </w:tcBorders>
                  <w:vAlign w:val="center"/>
                </w:tcPr>
                <w:p w14:paraId="68CF05CB"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评标细则</w:t>
                  </w:r>
                </w:p>
              </w:tc>
              <w:tc>
                <w:tcPr>
                  <w:tcW w:w="0" w:type="auto"/>
                  <w:tcBorders>
                    <w:tl2br w:val="nil"/>
                    <w:tr2bl w:val="nil"/>
                  </w:tcBorders>
                  <w:noWrap/>
                  <w:vAlign w:val="center"/>
                </w:tcPr>
                <w:p w14:paraId="691E21AC"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rPr>
                    <w:t>权重</w:t>
                  </w:r>
                </w:p>
              </w:tc>
            </w:tr>
            <w:tr w:rsidR="00656788" w14:paraId="58359211" w14:textId="77777777">
              <w:trPr>
                <w:trHeight w:val="1540"/>
              </w:trPr>
              <w:tc>
                <w:tcPr>
                  <w:tcW w:w="0" w:type="auto"/>
                  <w:tcBorders>
                    <w:tl2br w:val="nil"/>
                    <w:tr2bl w:val="nil"/>
                  </w:tcBorders>
                  <w:noWrap/>
                  <w:vAlign w:val="center"/>
                </w:tcPr>
                <w:p w14:paraId="1DC03E78"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w:t>
                  </w:r>
                </w:p>
              </w:tc>
              <w:tc>
                <w:tcPr>
                  <w:tcW w:w="0" w:type="auto"/>
                  <w:tcBorders>
                    <w:tl2br w:val="nil"/>
                    <w:tr2bl w:val="nil"/>
                  </w:tcBorders>
                  <w:noWrap/>
                  <w:vAlign w:val="center"/>
                </w:tcPr>
                <w:p w14:paraId="73293A89"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商务</w:t>
                  </w:r>
                </w:p>
                <w:p w14:paraId="0FB79BC6"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0" w:type="auto"/>
                  <w:tcBorders>
                    <w:tl2br w:val="nil"/>
                    <w:tr2bl w:val="nil"/>
                  </w:tcBorders>
                  <w:noWrap/>
                  <w:vAlign w:val="center"/>
                </w:tcPr>
                <w:p w14:paraId="11DFB41A"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szCs w:val="21"/>
                    </w:rPr>
                    <w:t>报价</w:t>
                  </w:r>
                </w:p>
              </w:tc>
              <w:tc>
                <w:tcPr>
                  <w:tcW w:w="0" w:type="auto"/>
                  <w:tcBorders>
                    <w:tl2br w:val="nil"/>
                    <w:tr2bl w:val="nil"/>
                  </w:tcBorders>
                  <w:vAlign w:val="center"/>
                </w:tcPr>
                <w:p w14:paraId="7CC8A9D5" w14:textId="77777777" w:rsidR="00656788" w:rsidRDefault="00000000">
                  <w:pPr>
                    <w:textAlignment w:val="center"/>
                    <w:rPr>
                      <w:rFonts w:ascii="仿宋_GB2312" w:eastAsia="仿宋_GB2312" w:hAnsi="仿宋_GB2312" w:cs="仿宋_GB2312" w:hint="eastAsia"/>
                      <w:i/>
                      <w:color w:val="000000"/>
                      <w:szCs w:val="21"/>
                    </w:rPr>
                  </w:pPr>
                  <w:r>
                    <w:rPr>
                      <w:rFonts w:ascii="仿宋_GB2312" w:eastAsia="仿宋_GB2312" w:hAnsi="仿宋_GB2312" w:cs="仿宋_GB2312" w:hint="eastAsia"/>
                      <w:color w:val="000000"/>
                      <w:szCs w:val="21"/>
                    </w:rPr>
                    <w:t>以全部有效投标人的平均报价为评标基准价，投标报价每低于评标基准价的1%扣除0.3分，每高于评标基准价的1%扣除0.4分，扣分保留两位小数，依此类推，直至扣完为止。</w:t>
                  </w:r>
                </w:p>
              </w:tc>
              <w:tc>
                <w:tcPr>
                  <w:tcW w:w="0" w:type="auto"/>
                  <w:tcBorders>
                    <w:tl2br w:val="nil"/>
                    <w:tr2bl w:val="nil"/>
                  </w:tcBorders>
                  <w:noWrap/>
                  <w:vAlign w:val="center"/>
                </w:tcPr>
                <w:p w14:paraId="3928403F"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50%</w:t>
                  </w:r>
                </w:p>
              </w:tc>
            </w:tr>
            <w:tr w:rsidR="00656788" w14:paraId="118AF7AC" w14:textId="77777777">
              <w:trPr>
                <w:trHeight w:val="960"/>
              </w:trPr>
              <w:tc>
                <w:tcPr>
                  <w:tcW w:w="0" w:type="auto"/>
                  <w:tcBorders>
                    <w:tl2br w:val="nil"/>
                    <w:tr2bl w:val="nil"/>
                  </w:tcBorders>
                  <w:noWrap/>
                  <w:vAlign w:val="center"/>
                </w:tcPr>
                <w:p w14:paraId="1A318692"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2</w:t>
                  </w:r>
                </w:p>
              </w:tc>
              <w:tc>
                <w:tcPr>
                  <w:tcW w:w="0" w:type="auto"/>
                  <w:tcBorders>
                    <w:tl2br w:val="nil"/>
                    <w:tr2bl w:val="nil"/>
                  </w:tcBorders>
                  <w:noWrap/>
                  <w:vAlign w:val="center"/>
                </w:tcPr>
                <w:p w14:paraId="79045432" w14:textId="77777777" w:rsidR="00656788"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szCs w:val="21"/>
                    </w:rPr>
                    <w:t>资信</w:t>
                  </w:r>
                </w:p>
                <w:p w14:paraId="361EF51B" w14:textId="77777777" w:rsidR="00656788" w:rsidRDefault="00000000">
                  <w:pPr>
                    <w:jc w:val="center"/>
                    <w:rPr>
                      <w:rFonts w:ascii="仿宋_GB2312" w:eastAsia="仿宋_GB2312" w:hAnsi="仿宋_GB2312" w:cs="仿宋_GB2312" w:hint="eastAsia"/>
                      <w:lang w:bidi="ar"/>
                    </w:rPr>
                  </w:pPr>
                  <w:r>
                    <w:rPr>
                      <w:rFonts w:ascii="仿宋_GB2312" w:eastAsia="仿宋_GB2312" w:hAnsi="仿宋_GB2312" w:cs="仿宋_GB2312" w:hint="eastAsia"/>
                      <w:color w:val="000000"/>
                      <w:szCs w:val="21"/>
                    </w:rPr>
                    <w:t>部分</w:t>
                  </w:r>
                </w:p>
              </w:tc>
              <w:tc>
                <w:tcPr>
                  <w:tcW w:w="0" w:type="auto"/>
                  <w:tcBorders>
                    <w:tl2br w:val="nil"/>
                    <w:tr2bl w:val="nil"/>
                  </w:tcBorders>
                  <w:noWrap/>
                  <w:vAlign w:val="center"/>
                </w:tcPr>
                <w:p w14:paraId="5CADD8DC"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业务情况</w:t>
                  </w:r>
                </w:p>
              </w:tc>
              <w:tc>
                <w:tcPr>
                  <w:tcW w:w="0" w:type="auto"/>
                  <w:tcBorders>
                    <w:tl2br w:val="nil"/>
                    <w:tr2bl w:val="nil"/>
                  </w:tcBorders>
                  <w:vAlign w:val="center"/>
                </w:tcPr>
                <w:p w14:paraId="146557C7" w14:textId="77777777" w:rsidR="00656788" w:rsidRDefault="00000000">
                  <w:pPr>
                    <w:spacing w:line="400" w:lineRule="exact"/>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1.投标人自2022年1月1日以来（以合同时间为准），具有同类服务业绩的，且合同金额大于等于50万元的，每个业绩得0.5分，最高得2.5分。不提供得0分；</w:t>
                  </w:r>
                </w:p>
                <w:p w14:paraId="0EE51755" w14:textId="77777777" w:rsidR="00656788"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2.投标人在全国各城市的服务机构情况：</w:t>
                  </w:r>
                </w:p>
                <w:p w14:paraId="05BCC78A"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①</w:t>
                  </w:r>
                  <w:r>
                    <w:rPr>
                      <w:rFonts w:ascii="仿宋_GB2312" w:eastAsia="仿宋_GB2312" w:hAnsi="仿宋_GB2312" w:cs="仿宋_GB2312" w:hint="eastAsia"/>
                      <w:color w:val="000000"/>
                      <w:kern w:val="0"/>
                      <w:szCs w:val="21"/>
                      <w:lang w:bidi="ar"/>
                    </w:rPr>
                    <w:tab/>
                    <w:t>满足10个城市及以上的，得2.5分；</w:t>
                  </w:r>
                </w:p>
                <w:p w14:paraId="363F9A54"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lastRenderedPageBreak/>
                    <w:t>②</w:t>
                  </w:r>
                  <w:r>
                    <w:rPr>
                      <w:rFonts w:ascii="仿宋_GB2312" w:eastAsia="仿宋_GB2312" w:hAnsi="仿宋_GB2312" w:cs="仿宋_GB2312" w:hint="eastAsia"/>
                      <w:color w:val="000000"/>
                      <w:kern w:val="0"/>
                      <w:szCs w:val="21"/>
                      <w:lang w:bidi="ar"/>
                    </w:rPr>
                    <w:tab/>
                    <w:t>满足6个城市的，得2分；</w:t>
                  </w:r>
                </w:p>
                <w:p w14:paraId="41104DE6"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③</w:t>
                  </w:r>
                  <w:r>
                    <w:rPr>
                      <w:rFonts w:ascii="仿宋_GB2312" w:eastAsia="仿宋_GB2312" w:hAnsi="仿宋_GB2312" w:cs="仿宋_GB2312" w:hint="eastAsia"/>
                      <w:color w:val="000000"/>
                      <w:kern w:val="0"/>
                      <w:szCs w:val="21"/>
                      <w:lang w:bidi="ar"/>
                    </w:rPr>
                    <w:tab/>
                    <w:t>满足3个城市的，得1.5分；</w:t>
                  </w:r>
                </w:p>
                <w:p w14:paraId="141D092D" w14:textId="77777777" w:rsidR="00656788" w:rsidRDefault="00000000">
                  <w:pPr>
                    <w:spacing w:line="400" w:lineRule="exact"/>
                    <w:ind w:firstLineChars="200" w:firstLine="42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④</w:t>
                  </w:r>
                  <w:r>
                    <w:rPr>
                      <w:rFonts w:ascii="仿宋_GB2312" w:eastAsia="仿宋_GB2312" w:hAnsi="仿宋_GB2312" w:cs="仿宋_GB2312" w:hint="eastAsia"/>
                      <w:color w:val="000000"/>
                      <w:kern w:val="0"/>
                      <w:szCs w:val="21"/>
                      <w:lang w:bidi="ar"/>
                    </w:rPr>
                    <w:tab/>
                    <w:t>满足1个城市的，得1分。</w:t>
                  </w:r>
                </w:p>
                <w:p w14:paraId="38F5B806" w14:textId="77777777" w:rsidR="00656788"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3.对项目团队情况进行评价，投标人拟投入本项目团队人员数量：</w:t>
                  </w:r>
                </w:p>
                <w:p w14:paraId="29C29202"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6人及以上的，得2分；</w:t>
                  </w:r>
                </w:p>
                <w:p w14:paraId="45A18C41"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4-5人的，得1分；</w:t>
                  </w:r>
                </w:p>
                <w:p w14:paraId="618E7DCA"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2-3人的，得0.5分；</w:t>
                  </w:r>
                </w:p>
                <w:p w14:paraId="327CA8F7" w14:textId="77777777" w:rsidR="00656788" w:rsidRDefault="00000000">
                  <w:pPr>
                    <w:spacing w:line="400" w:lineRule="exact"/>
                    <w:ind w:firstLineChars="200" w:firstLine="42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1人，得0分；</w:t>
                  </w:r>
                </w:p>
                <w:p w14:paraId="736AEBDC" w14:textId="77777777" w:rsidR="00656788" w:rsidRDefault="00000000">
                  <w:pPr>
                    <w:spacing w:line="400" w:lineRule="exact"/>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4.投标人具有如下有效</w:t>
                  </w:r>
                  <w:bookmarkStart w:id="3" w:name="_Hlk212724975"/>
                  <w:r>
                    <w:rPr>
                      <w:rFonts w:ascii="仿宋_GB2312" w:eastAsia="仿宋_GB2312" w:hAnsi="仿宋_GB2312" w:cs="仿宋_GB2312" w:hint="eastAsia"/>
                      <w:color w:val="000000"/>
                      <w:kern w:val="0"/>
                      <w:szCs w:val="21"/>
                      <w:lang w:bidi="ar"/>
                    </w:rPr>
                    <w:t>管理认证体系</w:t>
                  </w:r>
                  <w:bookmarkEnd w:id="3"/>
                  <w:r>
                    <w:rPr>
                      <w:rFonts w:ascii="仿宋_GB2312" w:eastAsia="仿宋_GB2312" w:hAnsi="仿宋_GB2312" w:cs="仿宋_GB2312" w:hint="eastAsia"/>
                      <w:color w:val="000000"/>
                      <w:kern w:val="0"/>
                      <w:szCs w:val="21"/>
                      <w:lang w:bidi="ar"/>
                    </w:rPr>
                    <w:t>的：</w:t>
                  </w:r>
                </w:p>
                <w:p w14:paraId="67E758D8" w14:textId="77777777" w:rsidR="00656788" w:rsidRDefault="00000000">
                  <w:pPr>
                    <w:spacing w:line="400" w:lineRule="exact"/>
                    <w:ind w:firstLineChars="200" w:firstLine="420"/>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①</w:t>
                  </w:r>
                  <w:r>
                    <w:rPr>
                      <w:rFonts w:ascii="仿宋_GB2312" w:eastAsia="仿宋_GB2312" w:hAnsi="仿宋_GB2312" w:cs="仿宋_GB2312" w:hint="eastAsia"/>
                      <w:color w:val="000000"/>
                      <w:kern w:val="0"/>
                      <w:szCs w:val="21"/>
                      <w:lang w:bidi="ar"/>
                    </w:rPr>
                    <w:tab/>
                    <w:t>ISO27001信息安全管理体系认证，得1.5分。</w:t>
                  </w:r>
                </w:p>
                <w:p w14:paraId="31485579" w14:textId="77777777" w:rsidR="00656788" w:rsidRDefault="00000000">
                  <w:pPr>
                    <w:spacing w:line="400" w:lineRule="exact"/>
                    <w:ind w:firstLineChars="200" w:firstLine="42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②</w:t>
                  </w:r>
                  <w:r>
                    <w:rPr>
                      <w:rFonts w:ascii="仿宋_GB2312" w:eastAsia="仿宋_GB2312" w:hAnsi="仿宋_GB2312" w:cs="仿宋_GB2312" w:hint="eastAsia"/>
                      <w:color w:val="000000"/>
                      <w:kern w:val="0"/>
                      <w:szCs w:val="21"/>
                      <w:lang w:bidi="ar"/>
                    </w:rPr>
                    <w:tab/>
                    <w:t>ISO9001质量管理体系认证，得1.5分。；</w:t>
                  </w:r>
                </w:p>
              </w:tc>
              <w:tc>
                <w:tcPr>
                  <w:tcW w:w="0" w:type="auto"/>
                  <w:tcBorders>
                    <w:tl2br w:val="nil"/>
                    <w:tr2bl w:val="nil"/>
                  </w:tcBorders>
                  <w:noWrap/>
                  <w:vAlign w:val="center"/>
                </w:tcPr>
                <w:p w14:paraId="3F03D83A"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lastRenderedPageBreak/>
                    <w:t>10%</w:t>
                  </w:r>
                </w:p>
              </w:tc>
            </w:tr>
            <w:tr w:rsidR="00656788" w14:paraId="53AF605A" w14:textId="77777777">
              <w:trPr>
                <w:trHeight w:val="960"/>
              </w:trPr>
              <w:tc>
                <w:tcPr>
                  <w:tcW w:w="0" w:type="auto"/>
                  <w:tcBorders>
                    <w:tl2br w:val="nil"/>
                    <w:tr2bl w:val="nil"/>
                  </w:tcBorders>
                  <w:noWrap/>
                  <w:vAlign w:val="center"/>
                </w:tcPr>
                <w:p w14:paraId="1B4C49B8"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3</w:t>
                  </w:r>
                </w:p>
              </w:tc>
              <w:tc>
                <w:tcPr>
                  <w:tcW w:w="0" w:type="auto"/>
                  <w:tcBorders>
                    <w:tl2br w:val="nil"/>
                    <w:tr2bl w:val="nil"/>
                  </w:tcBorders>
                  <w:noWrap/>
                  <w:vAlign w:val="center"/>
                </w:tcPr>
                <w:p w14:paraId="58B4CF37"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技术</w:t>
                  </w:r>
                </w:p>
                <w:p w14:paraId="2B7E53BD"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0" w:type="auto"/>
                  <w:tcBorders>
                    <w:tl2br w:val="nil"/>
                    <w:tr2bl w:val="nil"/>
                  </w:tcBorders>
                  <w:noWrap/>
                  <w:vAlign w:val="center"/>
                </w:tcPr>
                <w:p w14:paraId="285F3C93"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服务方案</w:t>
                  </w:r>
                </w:p>
              </w:tc>
              <w:tc>
                <w:tcPr>
                  <w:tcW w:w="0" w:type="auto"/>
                  <w:tcBorders>
                    <w:tl2br w:val="nil"/>
                    <w:tr2bl w:val="nil"/>
                  </w:tcBorders>
                  <w:vAlign w:val="center"/>
                </w:tcPr>
                <w:p w14:paraId="347E8B49" w14:textId="77777777" w:rsidR="00656788" w:rsidRDefault="00000000">
                  <w:pPr>
                    <w:spacing w:line="400" w:lineRule="exact"/>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根据投标人提供的本项目的“整体服务方案的完整性、创新与针对性、时间与进度安排合理性、服务保障及应急措施”四个维度进行评分，</w:t>
                  </w:r>
                  <w:proofErr w:type="gramStart"/>
                  <w:r>
                    <w:rPr>
                      <w:rFonts w:ascii="仿宋_GB2312" w:eastAsia="仿宋_GB2312" w:hAnsi="仿宋_GB2312" w:cs="仿宋_GB2312" w:hint="eastAsia"/>
                      <w:color w:val="000000"/>
                      <w:kern w:val="0"/>
                      <w:szCs w:val="21"/>
                      <w:lang w:bidi="ar"/>
                    </w:rPr>
                    <w:t>每项目</w:t>
                  </w:r>
                  <w:proofErr w:type="gramEnd"/>
                  <w:r>
                    <w:rPr>
                      <w:rFonts w:ascii="仿宋_GB2312" w:eastAsia="仿宋_GB2312" w:hAnsi="仿宋_GB2312" w:cs="仿宋_GB2312" w:hint="eastAsia"/>
                      <w:color w:val="000000"/>
                      <w:kern w:val="0"/>
                      <w:szCs w:val="21"/>
                      <w:lang w:bidi="ar"/>
                    </w:rPr>
                    <w:t>优秀得8-10分；良好得6-8分；合格得4-6分，不合格不得分。</w:t>
                  </w:r>
                </w:p>
              </w:tc>
              <w:tc>
                <w:tcPr>
                  <w:tcW w:w="0" w:type="auto"/>
                  <w:tcBorders>
                    <w:tl2br w:val="nil"/>
                    <w:tr2bl w:val="nil"/>
                  </w:tcBorders>
                  <w:noWrap/>
                  <w:vAlign w:val="center"/>
                </w:tcPr>
                <w:p w14:paraId="75B24935" w14:textId="77777777" w:rsidR="00656788"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40%</w:t>
                  </w:r>
                </w:p>
              </w:tc>
            </w:tr>
            <w:tr w:rsidR="00656788" w14:paraId="6904E95D" w14:textId="77777777">
              <w:trPr>
                <w:trHeight w:val="330"/>
              </w:trPr>
              <w:tc>
                <w:tcPr>
                  <w:tcW w:w="0" w:type="auto"/>
                  <w:tcBorders>
                    <w:tl2br w:val="nil"/>
                    <w:tr2bl w:val="nil"/>
                  </w:tcBorders>
                  <w:noWrap/>
                  <w:vAlign w:val="center"/>
                </w:tcPr>
                <w:p w14:paraId="0A103E55" w14:textId="77777777" w:rsidR="00656788" w:rsidRDefault="00656788">
                  <w:pPr>
                    <w:textAlignment w:val="center"/>
                    <w:rPr>
                      <w:rFonts w:ascii="仿宋_GB2312" w:eastAsia="仿宋_GB2312" w:hAnsi="仿宋_GB2312" w:cs="仿宋_GB2312" w:hint="eastAsia"/>
                      <w:lang w:bidi="ar"/>
                    </w:rPr>
                  </w:pPr>
                </w:p>
              </w:tc>
              <w:tc>
                <w:tcPr>
                  <w:tcW w:w="0" w:type="auto"/>
                  <w:gridSpan w:val="3"/>
                  <w:tcBorders>
                    <w:tl2br w:val="nil"/>
                    <w:tr2bl w:val="nil"/>
                  </w:tcBorders>
                  <w:noWrap/>
                  <w:vAlign w:val="center"/>
                </w:tcPr>
                <w:p w14:paraId="2C33E9FE"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合计</w:t>
                  </w:r>
                </w:p>
              </w:tc>
              <w:tc>
                <w:tcPr>
                  <w:tcW w:w="0" w:type="auto"/>
                  <w:tcBorders>
                    <w:tl2br w:val="nil"/>
                    <w:tr2bl w:val="nil"/>
                  </w:tcBorders>
                  <w:noWrap/>
                  <w:vAlign w:val="center"/>
                </w:tcPr>
                <w:p w14:paraId="5EA48811" w14:textId="77777777" w:rsidR="00656788"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100%</w:t>
                  </w:r>
                </w:p>
              </w:tc>
            </w:tr>
          </w:tbl>
          <w:p w14:paraId="518D6E33" w14:textId="77777777" w:rsidR="00656788" w:rsidRDefault="00656788">
            <w:pPr>
              <w:spacing w:line="577" w:lineRule="atLeast"/>
              <w:jc w:val="left"/>
              <w:rPr>
                <w:rFonts w:ascii="仿宋_GB2312" w:eastAsia="仿宋_GB2312"/>
                <w:color w:val="000000" w:themeColor="text1"/>
                <w:sz w:val="28"/>
                <w:szCs w:val="28"/>
              </w:rPr>
            </w:pPr>
          </w:p>
        </w:tc>
      </w:tr>
      <w:tr w:rsidR="00656788" w14:paraId="3C3DC333" w14:textId="77777777">
        <w:trPr>
          <w:trHeight w:val="6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756463"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评审小组成员</w:t>
            </w:r>
          </w:p>
        </w:tc>
        <w:tc>
          <w:tcPr>
            <w:tcW w:w="8036" w:type="dxa"/>
            <w:gridSpan w:val="2"/>
            <w:tcBorders>
              <w:top w:val="single" w:sz="4" w:space="0" w:color="auto"/>
              <w:left w:val="single" w:sz="4" w:space="0" w:color="auto"/>
              <w:bottom w:val="single" w:sz="4" w:space="0" w:color="auto"/>
              <w:right w:val="single" w:sz="4" w:space="0" w:color="auto"/>
            </w:tcBorders>
            <w:vAlign w:val="center"/>
          </w:tcPr>
          <w:p w14:paraId="7798CEAD" w14:textId="77777777" w:rsidR="00656788" w:rsidRDefault="00000000">
            <w:pPr>
              <w:spacing w:line="577" w:lineRule="atLeast"/>
              <w:jc w:val="left"/>
              <w:rPr>
                <w:rFonts w:ascii="仿宋_GB2312" w:eastAsia="仿宋_GB2312"/>
                <w:color w:val="000000" w:themeColor="text1"/>
                <w:sz w:val="28"/>
                <w:szCs w:val="28"/>
              </w:rPr>
            </w:pPr>
            <w:r>
              <w:rPr>
                <w:rFonts w:ascii="仿宋_GB2312" w:eastAsia="仿宋_GB2312" w:hint="eastAsia"/>
                <w:color w:val="000000" w:themeColor="text1"/>
                <w:sz w:val="28"/>
                <w:szCs w:val="28"/>
              </w:rPr>
              <w:t>财务部卢月、企管部杨徐垚、组织部/人力资源</w:t>
            </w:r>
            <w:proofErr w:type="gramStart"/>
            <w:r>
              <w:rPr>
                <w:rFonts w:ascii="仿宋_GB2312" w:eastAsia="仿宋_GB2312" w:hint="eastAsia"/>
                <w:color w:val="000000" w:themeColor="text1"/>
                <w:sz w:val="28"/>
                <w:szCs w:val="28"/>
              </w:rPr>
              <w:t>部魏丹</w:t>
            </w:r>
            <w:proofErr w:type="gramEnd"/>
          </w:p>
        </w:tc>
      </w:tr>
      <w:tr w:rsidR="00656788" w14:paraId="03A7256D" w14:textId="77777777">
        <w:trPr>
          <w:trHeight w:val="51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64A757"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采购具</w:t>
            </w:r>
          </w:p>
          <w:p w14:paraId="32E42DEA" w14:textId="77777777" w:rsidR="00656788" w:rsidRDefault="00000000">
            <w:pPr>
              <w:spacing w:line="577" w:lineRule="atLeast"/>
              <w:jc w:val="center"/>
              <w:rPr>
                <w:rFonts w:ascii="仿宋_GB2312" w:eastAsia="仿宋_GB2312"/>
                <w:color w:val="000000" w:themeColor="text1"/>
                <w:sz w:val="28"/>
                <w:szCs w:val="28"/>
              </w:rPr>
            </w:pPr>
            <w:proofErr w:type="gramStart"/>
            <w:r>
              <w:rPr>
                <w:rFonts w:ascii="仿宋_GB2312" w:eastAsia="仿宋_GB2312" w:hint="eastAsia"/>
                <w:color w:val="000000" w:themeColor="text1"/>
                <w:sz w:val="28"/>
                <w:szCs w:val="28"/>
              </w:rPr>
              <w:t>体内容</w:t>
            </w:r>
            <w:proofErr w:type="gramEnd"/>
          </w:p>
        </w:tc>
        <w:tc>
          <w:tcPr>
            <w:tcW w:w="2023" w:type="dxa"/>
            <w:tcBorders>
              <w:top w:val="single" w:sz="4" w:space="0" w:color="auto"/>
              <w:left w:val="nil"/>
              <w:bottom w:val="single" w:sz="4" w:space="0" w:color="auto"/>
              <w:right w:val="single" w:sz="4" w:space="0" w:color="auto"/>
            </w:tcBorders>
            <w:vAlign w:val="center"/>
          </w:tcPr>
          <w:p w14:paraId="76C2275F"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控制价</w:t>
            </w:r>
          </w:p>
        </w:tc>
        <w:tc>
          <w:tcPr>
            <w:tcW w:w="6013" w:type="dxa"/>
            <w:tcBorders>
              <w:top w:val="single" w:sz="4" w:space="0" w:color="auto"/>
              <w:left w:val="nil"/>
              <w:bottom w:val="single" w:sz="4" w:space="0" w:color="auto"/>
              <w:right w:val="single" w:sz="4" w:space="0" w:color="auto"/>
            </w:tcBorders>
            <w:vAlign w:val="center"/>
          </w:tcPr>
          <w:p w14:paraId="2BD4D8F4"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供应商资格及</w:t>
            </w:r>
          </w:p>
          <w:p w14:paraId="1F93C988"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资质要求</w:t>
            </w:r>
          </w:p>
        </w:tc>
      </w:tr>
      <w:tr w:rsidR="00656788" w14:paraId="6111C71A" w14:textId="77777777">
        <w:trPr>
          <w:trHeight w:val="59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1D6C7C"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人才盘点咨询服务</w:t>
            </w:r>
          </w:p>
        </w:tc>
        <w:tc>
          <w:tcPr>
            <w:tcW w:w="2023" w:type="dxa"/>
            <w:tcBorders>
              <w:top w:val="single" w:sz="4" w:space="0" w:color="auto"/>
              <w:left w:val="nil"/>
              <w:bottom w:val="single" w:sz="4" w:space="0" w:color="auto"/>
              <w:right w:val="single" w:sz="4" w:space="0" w:color="auto"/>
            </w:tcBorders>
            <w:vAlign w:val="center"/>
          </w:tcPr>
          <w:p w14:paraId="5DD78C3D" w14:textId="77777777" w:rsidR="00656788" w:rsidRDefault="00000000">
            <w:pPr>
              <w:spacing w:line="577" w:lineRule="atLeast"/>
              <w:jc w:val="center"/>
              <w:rPr>
                <w:rFonts w:ascii="仿宋_GB2312" w:eastAsia="仿宋_GB2312"/>
                <w:color w:val="000000" w:themeColor="text1"/>
                <w:sz w:val="28"/>
                <w:szCs w:val="28"/>
              </w:rPr>
            </w:pPr>
            <w:r>
              <w:rPr>
                <w:rFonts w:ascii="仿宋_GB2312" w:eastAsia="仿宋_GB2312" w:hint="eastAsia"/>
                <w:color w:val="000000" w:themeColor="text1"/>
                <w:sz w:val="28"/>
                <w:szCs w:val="28"/>
              </w:rPr>
              <w:t>58.2万元</w:t>
            </w:r>
          </w:p>
        </w:tc>
        <w:tc>
          <w:tcPr>
            <w:tcW w:w="6013" w:type="dxa"/>
            <w:tcBorders>
              <w:top w:val="single" w:sz="4" w:space="0" w:color="auto"/>
              <w:left w:val="nil"/>
              <w:bottom w:val="single" w:sz="4" w:space="0" w:color="auto"/>
              <w:right w:val="single" w:sz="4" w:space="0" w:color="auto"/>
            </w:tcBorders>
            <w:vAlign w:val="center"/>
          </w:tcPr>
          <w:p w14:paraId="3ADAFF29" w14:textId="77777777" w:rsidR="00656788" w:rsidRDefault="00000000">
            <w:pPr>
              <w:spacing w:line="560" w:lineRule="exact"/>
              <w:jc w:val="left"/>
              <w:rPr>
                <w:rFonts w:ascii="仿宋" w:eastAsia="仿宋" w:hAnsi="仿宋" w:cs="Arial" w:hint="eastAsia"/>
                <w:sz w:val="28"/>
                <w:szCs w:val="28"/>
              </w:rPr>
            </w:pPr>
            <w:r>
              <w:rPr>
                <w:rFonts w:ascii="仿宋" w:eastAsia="仿宋" w:hAnsi="仿宋" w:cs="Arial" w:hint="eastAsia"/>
                <w:sz w:val="28"/>
                <w:szCs w:val="28"/>
              </w:rPr>
              <w:t>1.公司营业许可范围：含企业管理咨询或人力资源咨询；</w:t>
            </w:r>
          </w:p>
          <w:p w14:paraId="07108F59" w14:textId="77777777" w:rsidR="00656788" w:rsidRDefault="00000000">
            <w:pPr>
              <w:spacing w:line="560" w:lineRule="exact"/>
              <w:jc w:val="left"/>
              <w:rPr>
                <w:rFonts w:ascii="仿宋" w:eastAsia="仿宋" w:hAnsi="仿宋" w:cs="Arial" w:hint="eastAsia"/>
                <w:sz w:val="28"/>
                <w:szCs w:val="28"/>
              </w:rPr>
            </w:pPr>
            <w:r>
              <w:rPr>
                <w:rFonts w:ascii="仿宋" w:eastAsia="仿宋" w:hAnsi="仿宋" w:cs="Arial" w:hint="eastAsia"/>
                <w:sz w:val="28"/>
                <w:szCs w:val="28"/>
              </w:rPr>
              <w:t>2.未被“信用中国”（www.creditchina.gov.cn）、中国政府采购网（www.ccgp.gov.cn）列入失信被执行人、重大税收违法案件当事人名单、严重违法失信行为记录名单；</w:t>
            </w:r>
          </w:p>
          <w:p w14:paraId="48BA463E" w14:textId="77777777" w:rsidR="00656788" w:rsidRDefault="00000000">
            <w:pPr>
              <w:spacing w:line="560" w:lineRule="exact"/>
              <w:jc w:val="left"/>
              <w:rPr>
                <w:rFonts w:ascii="仿宋" w:eastAsia="仿宋" w:hAnsi="仿宋" w:cs="Arial" w:hint="eastAsia"/>
                <w:sz w:val="28"/>
                <w:szCs w:val="28"/>
              </w:rPr>
            </w:pPr>
            <w:r>
              <w:rPr>
                <w:rFonts w:ascii="仿宋" w:eastAsia="仿宋" w:hAnsi="仿宋" w:cs="Arial" w:hint="eastAsia"/>
                <w:sz w:val="28"/>
                <w:szCs w:val="28"/>
              </w:rPr>
              <w:t>3.本次招标要求拟派项目负责人须持有中级职称或二级企业人力资源管理师等级证书（须提供相关证明材料复</w:t>
            </w:r>
            <w:r>
              <w:rPr>
                <w:rFonts w:ascii="仿宋" w:eastAsia="仿宋" w:hAnsi="仿宋" w:cs="Arial" w:hint="eastAsia"/>
                <w:sz w:val="28"/>
                <w:szCs w:val="28"/>
              </w:rPr>
              <w:lastRenderedPageBreak/>
              <w:t>印件）。</w:t>
            </w:r>
          </w:p>
        </w:tc>
      </w:tr>
    </w:tbl>
    <w:p w14:paraId="2735EFB5" w14:textId="77777777" w:rsidR="00656788" w:rsidRDefault="00656788"/>
    <w:sectPr w:rsidR="006567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87BD" w14:textId="77777777" w:rsidR="00273888" w:rsidRDefault="00273888" w:rsidP="007932C9">
      <w:r>
        <w:separator/>
      </w:r>
    </w:p>
  </w:endnote>
  <w:endnote w:type="continuationSeparator" w:id="0">
    <w:p w14:paraId="7C651A26" w14:textId="77777777" w:rsidR="00273888" w:rsidRDefault="00273888" w:rsidP="0079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default"/>
    <w:sig w:usb0="E00006FF" w:usb1="0000FCFF" w:usb2="00000001" w:usb3="00000000" w:csb0="6000019F" w:csb1="DFD7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3E27" w14:textId="77777777" w:rsidR="00273888" w:rsidRDefault="00273888" w:rsidP="007932C9">
      <w:r>
        <w:separator/>
      </w:r>
    </w:p>
  </w:footnote>
  <w:footnote w:type="continuationSeparator" w:id="0">
    <w:p w14:paraId="609ED91E" w14:textId="77777777" w:rsidR="00273888" w:rsidRDefault="00273888" w:rsidP="00793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430D8F"/>
    <w:rsid w:val="00013690"/>
    <w:rsid w:val="000467C1"/>
    <w:rsid w:val="000914C5"/>
    <w:rsid w:val="0011156C"/>
    <w:rsid w:val="00171ACF"/>
    <w:rsid w:val="001807F0"/>
    <w:rsid w:val="001D5036"/>
    <w:rsid w:val="001F6741"/>
    <w:rsid w:val="00207D23"/>
    <w:rsid w:val="00220079"/>
    <w:rsid w:val="00273888"/>
    <w:rsid w:val="002D0D19"/>
    <w:rsid w:val="002E4AC0"/>
    <w:rsid w:val="00315C35"/>
    <w:rsid w:val="00392365"/>
    <w:rsid w:val="003B1F70"/>
    <w:rsid w:val="003F1678"/>
    <w:rsid w:val="004333EC"/>
    <w:rsid w:val="004F2B7A"/>
    <w:rsid w:val="00507855"/>
    <w:rsid w:val="00515887"/>
    <w:rsid w:val="005B40F9"/>
    <w:rsid w:val="00615FD7"/>
    <w:rsid w:val="00656788"/>
    <w:rsid w:val="00666902"/>
    <w:rsid w:val="00685A99"/>
    <w:rsid w:val="006909B8"/>
    <w:rsid w:val="006D5A79"/>
    <w:rsid w:val="006D5E84"/>
    <w:rsid w:val="006E4EEB"/>
    <w:rsid w:val="006F30F1"/>
    <w:rsid w:val="006F6129"/>
    <w:rsid w:val="00727655"/>
    <w:rsid w:val="00744FD5"/>
    <w:rsid w:val="00782FD8"/>
    <w:rsid w:val="007932C9"/>
    <w:rsid w:val="00796910"/>
    <w:rsid w:val="007E55B2"/>
    <w:rsid w:val="007F557F"/>
    <w:rsid w:val="0081192A"/>
    <w:rsid w:val="00824255"/>
    <w:rsid w:val="00825DB7"/>
    <w:rsid w:val="00836DAC"/>
    <w:rsid w:val="008624DC"/>
    <w:rsid w:val="00862DEF"/>
    <w:rsid w:val="008A31EF"/>
    <w:rsid w:val="008C73F2"/>
    <w:rsid w:val="008D1A30"/>
    <w:rsid w:val="00924656"/>
    <w:rsid w:val="009515CB"/>
    <w:rsid w:val="00986449"/>
    <w:rsid w:val="00992DDD"/>
    <w:rsid w:val="009A6153"/>
    <w:rsid w:val="009F10A9"/>
    <w:rsid w:val="00A30A3D"/>
    <w:rsid w:val="00A97204"/>
    <w:rsid w:val="00AD22CE"/>
    <w:rsid w:val="00AE536D"/>
    <w:rsid w:val="00AF7469"/>
    <w:rsid w:val="00B11D98"/>
    <w:rsid w:val="00B45014"/>
    <w:rsid w:val="00B8571B"/>
    <w:rsid w:val="00B928CC"/>
    <w:rsid w:val="00BA03DE"/>
    <w:rsid w:val="00BB0304"/>
    <w:rsid w:val="00BB1B0C"/>
    <w:rsid w:val="00C15490"/>
    <w:rsid w:val="00C45707"/>
    <w:rsid w:val="00C601A5"/>
    <w:rsid w:val="00C95D14"/>
    <w:rsid w:val="00CA6D3E"/>
    <w:rsid w:val="00D15409"/>
    <w:rsid w:val="00D309EC"/>
    <w:rsid w:val="00D537D6"/>
    <w:rsid w:val="00D63651"/>
    <w:rsid w:val="00D703F1"/>
    <w:rsid w:val="00DB0FF5"/>
    <w:rsid w:val="00E17BEC"/>
    <w:rsid w:val="00E5532E"/>
    <w:rsid w:val="00E559C2"/>
    <w:rsid w:val="00E66B5E"/>
    <w:rsid w:val="00ED6DE7"/>
    <w:rsid w:val="00F04498"/>
    <w:rsid w:val="00F53F79"/>
    <w:rsid w:val="00F67064"/>
    <w:rsid w:val="00F71DDD"/>
    <w:rsid w:val="00FB4DCC"/>
    <w:rsid w:val="00FC57DA"/>
    <w:rsid w:val="00FF63E6"/>
    <w:rsid w:val="038A3960"/>
    <w:rsid w:val="09D50F7A"/>
    <w:rsid w:val="0ECF491D"/>
    <w:rsid w:val="10AA73F0"/>
    <w:rsid w:val="12FA5BB3"/>
    <w:rsid w:val="140E7C96"/>
    <w:rsid w:val="1F026640"/>
    <w:rsid w:val="1FCD468D"/>
    <w:rsid w:val="228B4EFC"/>
    <w:rsid w:val="272F1FA5"/>
    <w:rsid w:val="274E6744"/>
    <w:rsid w:val="2B4029D3"/>
    <w:rsid w:val="2CB76CC5"/>
    <w:rsid w:val="2D1E6D44"/>
    <w:rsid w:val="2DA07DEB"/>
    <w:rsid w:val="2E6B0374"/>
    <w:rsid w:val="2EE14DE9"/>
    <w:rsid w:val="2F6877DA"/>
    <w:rsid w:val="31774E13"/>
    <w:rsid w:val="33C10429"/>
    <w:rsid w:val="363C023B"/>
    <w:rsid w:val="39AA4627"/>
    <w:rsid w:val="3B6E48AD"/>
    <w:rsid w:val="49A30A45"/>
    <w:rsid w:val="4AEA1FD1"/>
    <w:rsid w:val="4B1D717E"/>
    <w:rsid w:val="4D9E38E4"/>
    <w:rsid w:val="5CE53649"/>
    <w:rsid w:val="60EE1934"/>
    <w:rsid w:val="61BF0E4D"/>
    <w:rsid w:val="61FB6F85"/>
    <w:rsid w:val="62976675"/>
    <w:rsid w:val="64412D3D"/>
    <w:rsid w:val="645E6ADC"/>
    <w:rsid w:val="66AB26EF"/>
    <w:rsid w:val="68A84E9B"/>
    <w:rsid w:val="6A5C23EC"/>
    <w:rsid w:val="6A891A2F"/>
    <w:rsid w:val="6C497547"/>
    <w:rsid w:val="70746A46"/>
    <w:rsid w:val="714C3197"/>
    <w:rsid w:val="735E7467"/>
    <w:rsid w:val="77091498"/>
    <w:rsid w:val="7A430D8F"/>
    <w:rsid w:val="7A446EF8"/>
    <w:rsid w:val="7CCD2F68"/>
    <w:rsid w:val="7E1A09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BEC31"/>
  <w15:docId w15:val="{33FB985C-21EF-49AD-B263-0AC52450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 w:val="28"/>
      <w:szCs w:val="24"/>
      <w14:ligatures w14:val="none"/>
    </w:rPr>
  </w:style>
  <w:style w:type="paragraph" w:styleId="a5">
    <w:name w:val="Body Text Indent"/>
    <w:basedOn w:val="a"/>
    <w:qFormat/>
    <w:pPr>
      <w:spacing w:after="120"/>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szCs w:val="24"/>
      <w14:ligatures w14:val="none"/>
    </w:rPr>
  </w:style>
  <w:style w:type="table" w:styleId="aa">
    <w:name w:val="Table Grid"/>
    <w:basedOn w:val="a1"/>
    <w:uiPriority w:val="39"/>
    <w:qFormat/>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character" w:styleId="ac">
    <w:name w:val="FollowedHyperlink"/>
    <w:basedOn w:val="a0"/>
    <w:qFormat/>
    <w:rPr>
      <w:color w:val="4D7AD8"/>
      <w:u w:val="none"/>
    </w:rPr>
  </w:style>
  <w:style w:type="character" w:styleId="HTML">
    <w:name w:val="HTML Definition"/>
    <w:basedOn w:val="a0"/>
    <w:qFormat/>
    <w:rPr>
      <w:i/>
      <w:iCs/>
    </w:rPr>
  </w:style>
  <w:style w:type="character" w:styleId="ad">
    <w:name w:val="Hyperlink"/>
    <w:basedOn w:val="a0"/>
    <w:qFormat/>
    <w:rPr>
      <w:color w:val="4D7AD8"/>
      <w:u w:val="none"/>
    </w:rPr>
  </w:style>
  <w:style w:type="character" w:styleId="HTML0">
    <w:name w:val="HTML Code"/>
    <w:basedOn w:val="a0"/>
    <w:qFormat/>
    <w:rPr>
      <w:rFonts w:ascii="Consolas" w:eastAsia="Consolas" w:hAnsi="Consolas" w:cs="Consolas" w:hint="default"/>
      <w:sz w:val="21"/>
      <w:szCs w:val="21"/>
    </w:rPr>
  </w:style>
  <w:style w:type="character" w:styleId="HTML1">
    <w:name w:val="HTML Keyboard"/>
    <w:basedOn w:val="a0"/>
    <w:qFormat/>
    <w:rPr>
      <w:rFonts w:ascii="Consolas" w:eastAsia="Consolas" w:hAnsi="Consolas" w:cs="Consolas"/>
      <w:sz w:val="21"/>
      <w:szCs w:val="21"/>
    </w:rPr>
  </w:style>
  <w:style w:type="character" w:styleId="HTML2">
    <w:name w:val="HTML Sample"/>
    <w:basedOn w:val="a0"/>
    <w:qFormat/>
    <w:rPr>
      <w:rFonts w:ascii="Consolas" w:eastAsia="Consolas" w:hAnsi="Consolas" w:cs="Consolas" w:hint="default"/>
      <w:sz w:val="21"/>
      <w:szCs w:val="21"/>
    </w:rPr>
  </w:style>
  <w:style w:type="character" w:customStyle="1" w:styleId="hover">
    <w:name w:val="hover"/>
    <w:basedOn w:val="a0"/>
    <w:qFormat/>
    <w:rPr>
      <w:color w:val="009DFF"/>
    </w:rPr>
  </w:style>
  <w:style w:type="character" w:customStyle="1" w:styleId="hover1">
    <w:name w:val="hover1"/>
    <w:basedOn w:val="a0"/>
    <w:qFormat/>
    <w:rPr>
      <w:color w:val="009DFF"/>
    </w:rPr>
  </w:style>
  <w:style w:type="character" w:customStyle="1" w:styleId="ant-tree-switcher14">
    <w:name w:val="ant-tree-switcher14"/>
    <w:basedOn w:val="a0"/>
    <w:qFormat/>
  </w:style>
  <w:style w:type="character" w:customStyle="1" w:styleId="wea-thumbnails-doc-content-subtitle">
    <w:name w:val="wea-thumbnails-doc-content-subtitle"/>
    <w:basedOn w:val="a0"/>
    <w:qFormat/>
    <w:rPr>
      <w:color w:val="9A9A9A"/>
    </w:rPr>
  </w:style>
  <w:style w:type="character" w:customStyle="1" w:styleId="texten">
    <w:name w:val="text_en"/>
    <w:basedOn w:val="a0"/>
    <w:qFormat/>
  </w:style>
  <w:style w:type="character" w:customStyle="1" w:styleId="wea-dropdown-triangle">
    <w:name w:val="wea-dropdown-triangle"/>
    <w:basedOn w:val="a0"/>
    <w:qFormat/>
  </w:style>
  <w:style w:type="character" w:customStyle="1" w:styleId="first-of-type">
    <w:name w:val="first-of-type"/>
    <w:basedOn w:val="a0"/>
    <w:qFormat/>
    <w:rPr>
      <w:color w:val="FF0000"/>
    </w:rPr>
  </w:style>
  <w:style w:type="character" w:customStyle="1" w:styleId="first-of-type1">
    <w:name w:val="first-of-type1"/>
    <w:basedOn w:val="a0"/>
    <w:qFormat/>
    <w:rPr>
      <w:color w:val="FF0000"/>
    </w:rPr>
  </w:style>
  <w:style w:type="character" w:customStyle="1" w:styleId="first-of-type2">
    <w:name w:val="first-of-type2"/>
    <w:basedOn w:val="a0"/>
    <w:qFormat/>
    <w:rPr>
      <w:color w:val="FF0000"/>
    </w:rPr>
  </w:style>
  <w:style w:type="character" w:customStyle="1" w:styleId="ant-select-tree-iconele">
    <w:name w:val="ant-select-tree-iconele"/>
    <w:basedOn w:val="a0"/>
    <w:qFormat/>
  </w:style>
  <w:style w:type="character" w:customStyle="1" w:styleId="first-child">
    <w:name w:val="first-child"/>
    <w:basedOn w:val="a0"/>
    <w:qFormat/>
  </w:style>
  <w:style w:type="character" w:customStyle="1" w:styleId="first-child1">
    <w:name w:val="first-child1"/>
    <w:basedOn w:val="a0"/>
    <w:qFormat/>
    <w:rPr>
      <w:color w:val="999999"/>
      <w:sz w:val="26"/>
      <w:szCs w:val="26"/>
    </w:rPr>
  </w:style>
  <w:style w:type="character" w:customStyle="1" w:styleId="ant-select-tree-checkbox">
    <w:name w:val="ant-select-tree-checkbox"/>
    <w:basedOn w:val="a0"/>
    <w:qFormat/>
  </w:style>
  <w:style w:type="character" w:customStyle="1" w:styleId="disabled2">
    <w:name w:val="disabled2"/>
    <w:basedOn w:val="a0"/>
    <w:qFormat/>
    <w:rPr>
      <w:color w:val="AAAAAA"/>
      <w:shd w:val="clear" w:color="auto" w:fill="F7F7F7"/>
    </w:rPr>
  </w:style>
  <w:style w:type="character" w:customStyle="1" w:styleId="isrevision">
    <w:name w:val="isrevision"/>
    <w:basedOn w:val="a0"/>
    <w:qFormat/>
    <w:rPr>
      <w:color w:val="000000"/>
      <w:sz w:val="14"/>
      <w:szCs w:val="14"/>
      <w:bdr w:val="single" w:sz="4" w:space="0" w:color="E9E9E9"/>
      <w:shd w:val="clear" w:color="auto" w:fill="FFFFFF"/>
    </w:rPr>
  </w:style>
  <w:style w:type="character" w:customStyle="1" w:styleId="button">
    <w:name w:val="button"/>
    <w:basedOn w:val="a0"/>
    <w:qFormat/>
  </w:style>
  <w:style w:type="character" w:customStyle="1" w:styleId="last-child">
    <w:name w:val="last-child"/>
    <w:basedOn w:val="a0"/>
    <w:qFormat/>
  </w:style>
  <w:style w:type="character" w:customStyle="1" w:styleId="ant-select-tree-switcher">
    <w:name w:val="ant-select-tree-switcher"/>
    <w:basedOn w:val="a0"/>
    <w:qFormat/>
  </w:style>
  <w:style w:type="character" w:customStyle="1" w:styleId="nth-child2">
    <w:name w:val="nth-child(2)"/>
    <w:basedOn w:val="a0"/>
    <w:qFormat/>
    <w:rPr>
      <w:vanish/>
    </w:rPr>
  </w:style>
  <w:style w:type="character" w:customStyle="1" w:styleId="ant-radio">
    <w:name w:val="ant-radio+*"/>
    <w:basedOn w:val="a0"/>
    <w:qFormat/>
  </w:style>
  <w:style w:type="character" w:customStyle="1" w:styleId="ant-tree-checkbox9">
    <w:name w:val="ant-tree-checkbox9"/>
    <w:basedOn w:val="a0"/>
    <w:qFormat/>
  </w:style>
  <w:style w:type="character" w:customStyle="1" w:styleId="ant-tree-iconele">
    <w:name w:val="ant-tree-iconele"/>
    <w:basedOn w:val="a0"/>
    <w:qFormat/>
  </w:style>
  <w:style w:type="character" w:customStyle="1" w:styleId="ant-tree-title">
    <w:name w:val="ant-tree-title"/>
    <w:basedOn w:val="a0"/>
    <w:qFormat/>
  </w:style>
  <w:style w:type="character" w:customStyle="1" w:styleId="auto-pass-node">
    <w:name w:val="auto-pass-node"/>
    <w:basedOn w:val="a0"/>
    <w:qFormat/>
    <w:rPr>
      <w:bdr w:val="single" w:sz="4" w:space="0" w:color="DC4446"/>
      <w:shd w:val="clear" w:color="auto" w:fill="A9E2FF"/>
    </w:rPr>
  </w:style>
  <w:style w:type="character" w:customStyle="1" w:styleId="current-node">
    <w:name w:val="current-node"/>
    <w:basedOn w:val="a0"/>
    <w:qFormat/>
    <w:rPr>
      <w:bdr w:val="single" w:sz="4" w:space="0" w:color="F5B87B"/>
      <w:shd w:val="clear" w:color="auto" w:fill="FFE8CC"/>
    </w:rPr>
  </w:style>
  <w:style w:type="character" w:customStyle="1" w:styleId="hover37">
    <w:name w:val="hover37"/>
    <w:basedOn w:val="a0"/>
    <w:qFormat/>
    <w:rPr>
      <w:color w:val="009DFF"/>
    </w:rPr>
  </w:style>
  <w:style w:type="character" w:customStyle="1" w:styleId="hover38">
    <w:name w:val="hover38"/>
    <w:basedOn w:val="a0"/>
    <w:qFormat/>
    <w:rPr>
      <w:color w:val="009DFF"/>
    </w:rPr>
  </w:style>
  <w:style w:type="character" w:customStyle="1" w:styleId="passed-node">
    <w:name w:val="passed-node"/>
    <w:basedOn w:val="a0"/>
    <w:qFormat/>
    <w:rPr>
      <w:bdr w:val="single" w:sz="4" w:space="0" w:color="49A8D4"/>
      <w:shd w:val="clear" w:color="auto" w:fill="A9E3FF"/>
    </w:rPr>
  </w:style>
  <w:style w:type="character" w:customStyle="1" w:styleId="disabled">
    <w:name w:val="disabled"/>
    <w:basedOn w:val="a0"/>
    <w:qFormat/>
    <w:rPr>
      <w:color w:val="AAAAAA"/>
      <w:shd w:val="clear" w:color="auto" w:fill="F7F7F7"/>
    </w:rPr>
  </w:style>
  <w:style w:type="character" w:customStyle="1" w:styleId="button1">
    <w:name w:val="button1"/>
    <w:basedOn w:val="a0"/>
    <w:qFormat/>
  </w:style>
  <w:style w:type="character" w:customStyle="1" w:styleId="ant-table-row-expand-icon4">
    <w:name w:val="ant-table-row-expand-icon4"/>
    <w:basedOn w:val="a0"/>
    <w:qFormat/>
    <w:rPr>
      <w:vanish/>
    </w:rPr>
  </w:style>
  <w:style w:type="character" w:customStyle="1" w:styleId="wea-dropdown-triangle2">
    <w:name w:val="wea-dropdown-triangle2"/>
    <w:basedOn w:val="a0"/>
    <w:qFormat/>
  </w:style>
  <w:style w:type="character" w:customStyle="1" w:styleId="ant-tree-switcher12">
    <w:name w:val="ant-tree-switcher12"/>
    <w:basedOn w:val="a0"/>
    <w:qFormat/>
  </w:style>
  <w:style w:type="character" w:customStyle="1" w:styleId="ant-tree-checkbox10">
    <w:name w:val="ant-tree-checkbox10"/>
    <w:basedOn w:val="a0"/>
    <w:qFormat/>
  </w:style>
  <w:style w:type="character" w:customStyle="1" w:styleId="not-pass-node">
    <w:name w:val="not-pass-node"/>
    <w:basedOn w:val="a0"/>
    <w:qFormat/>
    <w:rPr>
      <w:bdr w:val="single" w:sz="4" w:space="0" w:color="5ABD6B"/>
      <w:shd w:val="clear" w:color="auto" w:fill="BFF3C3"/>
    </w:rPr>
  </w:style>
  <w:style w:type="character" w:customStyle="1" w:styleId="tmpztreemovearrow">
    <w:name w:val="tmpztreemove_arrow"/>
    <w:basedOn w:val="a0"/>
    <w:qFormat/>
  </w:style>
  <w:style w:type="character" w:customStyle="1" w:styleId="a9">
    <w:name w:val="页眉 字符"/>
    <w:basedOn w:val="a0"/>
    <w:link w:val="a8"/>
    <w:qFormat/>
    <w:rPr>
      <w:rFonts w:asciiTheme="minorHAnsi" w:eastAsiaTheme="minorEastAsia" w:hAnsiTheme="minorHAnsi" w:cstheme="minorBidi"/>
      <w:kern w:val="2"/>
      <w:sz w:val="18"/>
      <w:szCs w:val="18"/>
      <w14:ligatures w14:val="standardContextual"/>
    </w:rPr>
  </w:style>
  <w:style w:type="character" w:customStyle="1" w:styleId="a7">
    <w:name w:val="页脚 字符"/>
    <w:basedOn w:val="a0"/>
    <w:link w:val="a6"/>
    <w:qFormat/>
    <w:rPr>
      <w:rFonts w:asciiTheme="minorHAnsi" w:eastAsiaTheme="minorEastAsia" w:hAnsiTheme="minorHAnsi" w:cstheme="minorBidi"/>
      <w:kern w:val="2"/>
      <w:sz w:val="18"/>
      <w:szCs w:val="18"/>
      <w14:ligatures w14:val="standardContextual"/>
    </w:rPr>
  </w:style>
  <w:style w:type="character" w:customStyle="1" w:styleId="NormalCharacter">
    <w:name w:val="NormalCharacter"/>
    <w:semiHidden/>
    <w:qFormat/>
  </w:style>
  <w:style w:type="paragraph" w:styleId="ae">
    <w:name w:val="List Paragraph"/>
    <w:basedOn w:val="a"/>
    <w:uiPriority w:val="99"/>
    <w:unhideWhenUsed/>
    <w:qFormat/>
    <w:pPr>
      <w:ind w:firstLineChars="200" w:firstLine="420"/>
    </w:pPr>
  </w:style>
  <w:style w:type="character" w:customStyle="1" w:styleId="a4">
    <w:name w:val="正文文本 字符"/>
    <w:basedOn w:val="a0"/>
    <w:link w:val="a3"/>
    <w:qFormat/>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1079</Words>
  <Characters>1134</Characters>
  <Application>Microsoft Office Word</Application>
  <DocSecurity>0</DocSecurity>
  <Lines>141</Lines>
  <Paragraphs>116</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王亦白（团委）</dc:creator>
  <cp:lastModifiedBy>陆晨凯</cp:lastModifiedBy>
  <cp:revision>8</cp:revision>
  <dcterms:created xsi:type="dcterms:W3CDTF">2025-10-27T09:17:00Z</dcterms:created>
  <dcterms:modified xsi:type="dcterms:W3CDTF">2025-10-30T06:23:00Z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0B63FF4ED6A543689E713408607633BE_13</vt:lpwstr>
  </property>
  <property fmtid="{D5CDD505-2E9C-101B-9397-08002B2CF9AE}" pid="4" name="KSOTemplateDocerSaveRecord">
    <vt:lpwstr>eyJoZGlkIjoiYzMwZTIzMzM5YjM5YjY5NDdiZTJiZmQ1NTEzMDMwMDQiLCJ1c2VySWQiOiIzMjcyMDc5MjQifQ==</vt:lpwstr>
  </property>
</Properties>
</file>